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D15D2" w14:textId="5AE7CA1E" w:rsidR="00A814E0" w:rsidRPr="00061A5D" w:rsidRDefault="00A814E0" w:rsidP="002C0F22">
      <w:pPr>
        <w:pStyle w:val="Standard"/>
        <w:jc w:val="center"/>
        <w:rPr>
          <w:rFonts w:cs="Helvetica"/>
        </w:rPr>
      </w:pPr>
      <w:r w:rsidRPr="00061A5D">
        <w:rPr>
          <w:rFonts w:cs="Helvetica"/>
          <w:b/>
        </w:rPr>
        <w:t>DEFINITION LIST</w:t>
      </w:r>
      <w:r w:rsidR="00D0018A" w:rsidRPr="00061A5D">
        <w:rPr>
          <w:rFonts w:cs="Helvetica"/>
          <w:b/>
        </w:rPr>
        <w:t xml:space="preserve"> - </w:t>
      </w:r>
      <w:commentRangeStart w:id="0"/>
      <w:r w:rsidR="00D0018A" w:rsidRPr="00061A5D">
        <w:rPr>
          <w:rFonts w:cs="Helvetica"/>
          <w:highlight w:val="yellow"/>
        </w:rPr>
        <w:t>TEAM A, SESSION I/2021</w:t>
      </w:r>
      <w:commentRangeEnd w:id="0"/>
      <w:r w:rsidR="00427F3C" w:rsidRPr="00061A5D">
        <w:rPr>
          <w:rStyle w:val="Marquedecommentaire"/>
          <w:rFonts w:cs="Helvetica"/>
        </w:rPr>
        <w:commentReference w:id="0"/>
      </w:r>
    </w:p>
    <w:p w14:paraId="3CC63886" w14:textId="2FDE1411" w:rsidR="00061A5D" w:rsidRPr="00061A5D" w:rsidRDefault="00061A5D" w:rsidP="00061A5D">
      <w:pPr>
        <w:pStyle w:val="COMINNOTextNoSpacing"/>
        <w:jc w:val="center"/>
        <w:rPr>
          <w:rFonts w:cs="Helvetica"/>
        </w:rPr>
      </w:pPr>
      <w:commentRangeStart w:id="1"/>
      <w:r w:rsidRPr="00061A5D">
        <w:rPr>
          <w:rFonts w:cs="Helvetica"/>
        </w:rPr>
        <w:t>***</w:t>
      </w:r>
      <w:commentRangeEnd w:id="1"/>
      <w:r w:rsidR="004C3164">
        <w:rPr>
          <w:rStyle w:val="Marquedecommentaire"/>
          <w:rFonts w:eastAsia="Noto Serif CJK SC" w:cs="Mangal"/>
          <w:lang w:eastAsia="zh-CN"/>
        </w:rPr>
        <w:commentReference w:id="1"/>
      </w:r>
    </w:p>
    <w:tbl>
      <w:tblPr>
        <w:tblW w:w="9858" w:type="dxa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8"/>
      </w:tblGrid>
      <w:tr w:rsidR="00061A5D" w:rsidRPr="00061A5D" w14:paraId="0899ACF9" w14:textId="77777777" w:rsidTr="007A7EEB">
        <w:trPr>
          <w:trHeight w:val="2280"/>
        </w:trPr>
        <w:tc>
          <w:tcPr>
            <w:tcW w:w="9858" w:type="dxa"/>
          </w:tcPr>
          <w:p w14:paraId="7E0B46C0" w14:textId="1AA8D4B2" w:rsidR="00B170C4" w:rsidRPr="00061A5D" w:rsidRDefault="00B170C4" w:rsidP="00B170C4">
            <w:pPr>
              <w:pStyle w:val="COMINNOText"/>
              <w:ind w:left="219"/>
              <w:rPr>
                <w:rFonts w:cs="Helvetica"/>
              </w:rPr>
            </w:pPr>
            <w:r w:rsidRPr="00061A5D">
              <w:rPr>
                <w:rFonts w:cs="Helvetica"/>
              </w:rPr>
              <w:t>The definitions hereunder apply in relation to the following documents:</w:t>
            </w:r>
          </w:p>
          <w:p w14:paraId="2DA8A60B" w14:textId="7D70B616" w:rsidR="00B170C4" w:rsidRPr="00061A5D" w:rsidRDefault="004F19A4" w:rsidP="00B170C4">
            <w:pPr>
              <w:pStyle w:val="COMINNOList-bullets"/>
              <w:ind w:left="548"/>
            </w:pPr>
            <w:r w:rsidRPr="00061A5D">
              <w:t>Team Project Contract</w:t>
            </w:r>
            <w:r w:rsidR="00B170C4" w:rsidRPr="00061A5D">
              <w:t xml:space="preserve"> (</w:t>
            </w:r>
            <w:r w:rsidR="00427F3C" w:rsidRPr="00061A5D">
              <w:t>“</w:t>
            </w:r>
            <w:r w:rsidR="00D0018A" w:rsidRPr="00061A5D">
              <w:rPr>
                <w:b/>
              </w:rPr>
              <w:t>TPC</w:t>
            </w:r>
            <w:r w:rsidR="00427F3C" w:rsidRPr="00061A5D">
              <w:t>”</w:t>
            </w:r>
            <w:r w:rsidR="00B170C4" w:rsidRPr="00061A5D">
              <w:t>)</w:t>
            </w:r>
          </w:p>
          <w:p w14:paraId="4CCA7656" w14:textId="2081F5FB" w:rsidR="00B170C4" w:rsidRPr="00061A5D" w:rsidRDefault="00B170C4" w:rsidP="00B170C4">
            <w:pPr>
              <w:pStyle w:val="COMINNOList-bullets"/>
              <w:ind w:left="548"/>
            </w:pPr>
            <w:r w:rsidRPr="00061A5D">
              <w:t>Statement of Work (</w:t>
            </w:r>
            <w:r w:rsidR="00427F3C" w:rsidRPr="00061A5D">
              <w:t>“</w:t>
            </w:r>
            <w:r w:rsidRPr="00061A5D">
              <w:rPr>
                <w:b/>
              </w:rPr>
              <w:t>SOW</w:t>
            </w:r>
            <w:r w:rsidR="00427F3C" w:rsidRPr="00061A5D">
              <w:t>”</w:t>
            </w:r>
            <w:r w:rsidRPr="00061A5D">
              <w:t>)</w:t>
            </w:r>
          </w:p>
          <w:p w14:paraId="510A830B" w14:textId="77F0465E" w:rsidR="00C2171A" w:rsidRPr="00061A5D" w:rsidRDefault="00C2171A" w:rsidP="00B170C4">
            <w:pPr>
              <w:pStyle w:val="COMINNOList-bullets"/>
              <w:ind w:left="548"/>
            </w:pPr>
            <w:r w:rsidRPr="00061A5D">
              <w:t>Technology &amp; Knowledge Transfer Arrangement (</w:t>
            </w:r>
            <w:r w:rsidR="00427F3C" w:rsidRPr="00061A5D">
              <w:t>“</w:t>
            </w:r>
            <w:r w:rsidRPr="00061A5D">
              <w:rPr>
                <w:b/>
              </w:rPr>
              <w:t>TKTA</w:t>
            </w:r>
            <w:r w:rsidR="00427F3C" w:rsidRPr="00061A5D">
              <w:t>”</w:t>
            </w:r>
            <w:r w:rsidRPr="00061A5D">
              <w:t>)</w:t>
            </w:r>
          </w:p>
          <w:p w14:paraId="7A7B5AD3" w14:textId="6D531531" w:rsidR="00B170C4" w:rsidRPr="00061A5D" w:rsidRDefault="00A05208" w:rsidP="00B170C4">
            <w:pPr>
              <w:pStyle w:val="COMINNOList-bullets"/>
              <w:ind w:left="548"/>
            </w:pPr>
            <w:r w:rsidRPr="00061A5D">
              <w:t>Signature Page</w:t>
            </w:r>
          </w:p>
          <w:p w14:paraId="2F91D4B3" w14:textId="415A8E34" w:rsidR="00061A5D" w:rsidRPr="00061A5D" w:rsidRDefault="001A025D" w:rsidP="00061A5D">
            <w:pPr>
              <w:pStyle w:val="COMINNOList-bullets"/>
              <w:numPr>
                <w:ilvl w:val="0"/>
                <w:numId w:val="0"/>
              </w:numPr>
              <w:ind w:left="219"/>
              <w:rPr>
                <w:sz w:val="18"/>
                <w:szCs w:val="18"/>
              </w:rPr>
            </w:pPr>
            <w:r w:rsidRPr="00061A5D">
              <w:rPr>
                <w:sz w:val="18"/>
                <w:szCs w:val="18"/>
              </w:rPr>
              <w:t xml:space="preserve">This </w:t>
            </w:r>
            <w:r w:rsidR="00996129" w:rsidRPr="00061A5D">
              <w:rPr>
                <w:sz w:val="18"/>
                <w:szCs w:val="18"/>
              </w:rPr>
              <w:t>Definition List</w:t>
            </w:r>
            <w:r w:rsidRPr="00061A5D">
              <w:rPr>
                <w:sz w:val="18"/>
                <w:szCs w:val="18"/>
              </w:rPr>
              <w:t xml:space="preserve"> has a di</w:t>
            </w:r>
            <w:r w:rsidR="003326AC" w:rsidRPr="00061A5D">
              <w:rPr>
                <w:sz w:val="18"/>
                <w:szCs w:val="18"/>
              </w:rPr>
              <w:t>dactic and interpretative value;</w:t>
            </w:r>
            <w:r w:rsidRPr="00061A5D">
              <w:rPr>
                <w:sz w:val="18"/>
                <w:szCs w:val="18"/>
              </w:rPr>
              <w:t xml:space="preserve"> </w:t>
            </w:r>
            <w:r w:rsidR="003326AC" w:rsidRPr="00061A5D">
              <w:rPr>
                <w:sz w:val="18"/>
                <w:szCs w:val="18"/>
              </w:rPr>
              <w:t>s</w:t>
            </w:r>
            <w:r w:rsidR="00943748" w:rsidRPr="00061A5D">
              <w:rPr>
                <w:sz w:val="18"/>
                <w:szCs w:val="18"/>
              </w:rPr>
              <w:t>hould</w:t>
            </w:r>
            <w:r w:rsidR="00DE77DF" w:rsidRPr="00061A5D">
              <w:rPr>
                <w:sz w:val="18"/>
                <w:szCs w:val="18"/>
              </w:rPr>
              <w:t xml:space="preserve"> </w:t>
            </w:r>
            <w:r w:rsidR="00943748" w:rsidRPr="00061A5D">
              <w:rPr>
                <w:sz w:val="18"/>
                <w:szCs w:val="18"/>
              </w:rPr>
              <w:t>it contradict</w:t>
            </w:r>
            <w:r w:rsidR="00DE77DF" w:rsidRPr="00061A5D">
              <w:rPr>
                <w:sz w:val="18"/>
                <w:szCs w:val="18"/>
              </w:rPr>
              <w:t xml:space="preserve"> </w:t>
            </w:r>
            <w:r w:rsidRPr="00061A5D">
              <w:rPr>
                <w:sz w:val="18"/>
                <w:szCs w:val="18"/>
              </w:rPr>
              <w:t xml:space="preserve">any of the </w:t>
            </w:r>
            <w:r w:rsidR="00DE77DF" w:rsidRPr="00061A5D">
              <w:rPr>
                <w:sz w:val="18"/>
                <w:szCs w:val="18"/>
              </w:rPr>
              <w:t xml:space="preserve">above documents, their </w:t>
            </w:r>
            <w:r w:rsidRPr="00061A5D">
              <w:rPr>
                <w:sz w:val="18"/>
                <w:szCs w:val="18"/>
              </w:rPr>
              <w:t>wording</w:t>
            </w:r>
            <w:r w:rsidR="00DE77DF" w:rsidRPr="00061A5D">
              <w:rPr>
                <w:sz w:val="18"/>
                <w:szCs w:val="18"/>
              </w:rPr>
              <w:t xml:space="preserve"> shall prevail.</w:t>
            </w:r>
          </w:p>
        </w:tc>
      </w:tr>
    </w:tbl>
    <w:p w14:paraId="51B51CA2" w14:textId="01E9C9A9" w:rsidR="004B0749" w:rsidRPr="00061A5D" w:rsidRDefault="00061A5D" w:rsidP="00061A5D">
      <w:pPr>
        <w:pStyle w:val="COMINNOParagraph"/>
        <w:spacing w:before="240"/>
        <w:ind w:left="28" w:hanging="357"/>
      </w:pPr>
      <w:r w:rsidRPr="00061A5D">
        <w:t xml:space="preserve"> </w:t>
      </w:r>
      <w:r w:rsidR="004B0749" w:rsidRPr="00061A5D">
        <w:t>“</w:t>
      </w:r>
      <w:r w:rsidR="004B0749" w:rsidRPr="00061A5D">
        <w:rPr>
          <w:b/>
        </w:rPr>
        <w:t>Aegis</w:t>
      </w:r>
      <w:r w:rsidR="004B0749" w:rsidRPr="00061A5D">
        <w:t xml:space="preserve">” defines the third-party authority </w:t>
      </w:r>
      <w:r w:rsidR="00C1238A" w:rsidRPr="00061A5D">
        <w:t xml:space="preserve">entrusted with the powers of </w:t>
      </w:r>
      <w:r w:rsidR="00B527FD" w:rsidRPr="00061A5D">
        <w:t>moral</w:t>
      </w:r>
      <w:r w:rsidR="00C1238A" w:rsidRPr="00061A5D">
        <w:t xml:space="preserve"> stewardship, </w:t>
      </w:r>
      <w:r w:rsidR="004B0F0E" w:rsidRPr="00061A5D">
        <w:t xml:space="preserve">social </w:t>
      </w:r>
      <w:proofErr w:type="gramStart"/>
      <w:r w:rsidR="00C1238A" w:rsidRPr="00061A5D">
        <w:t>facilitation</w:t>
      </w:r>
      <w:proofErr w:type="gramEnd"/>
      <w:r w:rsidR="00C1238A" w:rsidRPr="00061A5D">
        <w:t xml:space="preserve"> and</w:t>
      </w:r>
      <w:r w:rsidR="00B527FD" w:rsidRPr="00061A5D">
        <w:t xml:space="preserve"> discretionary</w:t>
      </w:r>
      <w:r w:rsidR="00C1238A" w:rsidRPr="00061A5D">
        <w:t xml:space="preserve"> retribution within the Team. </w:t>
      </w:r>
      <w:r w:rsidR="0051530F">
        <w:t>T</w:t>
      </w:r>
      <w:r w:rsidR="004B0F0E" w:rsidRPr="00061A5D">
        <w:t>he Aegis</w:t>
      </w:r>
      <w:r w:rsidR="0051530F">
        <w:t xml:space="preserve"> is the </w:t>
      </w:r>
      <w:proofErr w:type="gramStart"/>
      <w:r w:rsidR="0051530F">
        <w:t>Operator</w:t>
      </w:r>
      <w:r w:rsidR="001A58A0" w:rsidRPr="00061A5D">
        <w:t>, unless</w:t>
      </w:r>
      <w:proofErr w:type="gramEnd"/>
      <w:r w:rsidR="001A58A0" w:rsidRPr="00061A5D">
        <w:t xml:space="preserve"> the Team disposes otherwise</w:t>
      </w:r>
      <w:r w:rsidR="00707B5E" w:rsidRPr="00061A5D">
        <w:t>.</w:t>
      </w:r>
    </w:p>
    <w:p w14:paraId="7060DB40" w14:textId="3B293822" w:rsidR="00A814E0" w:rsidRPr="00061A5D" w:rsidRDefault="00A814E0" w:rsidP="00C445F7">
      <w:pPr>
        <w:pStyle w:val="COMINNOParagraph"/>
      </w:pPr>
      <w:r w:rsidRPr="00061A5D">
        <w:t>“</w:t>
      </w:r>
      <w:r w:rsidRPr="00061A5D">
        <w:rPr>
          <w:b/>
        </w:rPr>
        <w:t>Affiliate</w:t>
      </w:r>
      <w:r w:rsidRPr="00061A5D">
        <w:t xml:space="preserve">” means, with respect to a </w:t>
      </w:r>
      <w:r w:rsidR="00C1341B" w:rsidRPr="00061A5D">
        <w:t>Member</w:t>
      </w:r>
      <w:r w:rsidRPr="00061A5D">
        <w:t xml:space="preserve">, any person or entity which now or hereafter, directly or indirectly, controls, is controlled by, or is under common control </w:t>
      </w:r>
      <w:r w:rsidR="003C1F13" w:rsidRPr="00061A5D">
        <w:t>of</w:t>
      </w:r>
      <w:r w:rsidRPr="00061A5D">
        <w:t xml:space="preserve"> </w:t>
      </w:r>
      <w:r w:rsidR="00C1341B" w:rsidRPr="00061A5D">
        <w:t xml:space="preserve">such </w:t>
      </w:r>
      <w:proofErr w:type="gramStart"/>
      <w:r w:rsidR="00C1341B" w:rsidRPr="00061A5D">
        <w:t>Member</w:t>
      </w:r>
      <w:r w:rsidR="004D632A" w:rsidRPr="00061A5D">
        <w:t>;</w:t>
      </w:r>
      <w:proofErr w:type="gramEnd"/>
    </w:p>
    <w:p w14:paraId="2410E192" w14:textId="785B629D" w:rsidR="009E7759" w:rsidRPr="00061A5D" w:rsidRDefault="007C6B0F">
      <w:pPr>
        <w:pStyle w:val="COMINNOParagraph"/>
      </w:pPr>
      <w:r w:rsidRPr="00061A5D">
        <w:t>“</w:t>
      </w:r>
      <w:r w:rsidRPr="00061A5D">
        <w:rPr>
          <w:b/>
        </w:rPr>
        <w:t>Application</w:t>
      </w:r>
      <w:r w:rsidRPr="00061A5D">
        <w:t xml:space="preserve">” defines the </w:t>
      </w:r>
      <w:r w:rsidR="003650BC">
        <w:t xml:space="preserve">document or text field containing the </w:t>
      </w:r>
      <w:r w:rsidRPr="00061A5D">
        <w:t xml:space="preserve">idea of innovation, its explanatory content and </w:t>
      </w:r>
      <w:r w:rsidR="000015D6">
        <w:t xml:space="preserve">accompanying Contribution Data </w:t>
      </w:r>
      <w:r w:rsidRPr="00061A5D">
        <w:t xml:space="preserve">as published on the </w:t>
      </w:r>
      <w:proofErr w:type="spellStart"/>
      <w:r w:rsidRPr="00061A5D">
        <w:t>co</w:t>
      </w:r>
      <w:r w:rsidR="00676864" w:rsidRPr="00061A5D">
        <w:t>ntributive</w:t>
      </w:r>
      <w:proofErr w:type="spellEnd"/>
      <w:r w:rsidR="001673F9" w:rsidRPr="00061A5D">
        <w:t xml:space="preserve"> space and</w:t>
      </w:r>
      <w:r w:rsidR="00676864" w:rsidRPr="00061A5D">
        <w:t xml:space="preserve"> </w:t>
      </w:r>
      <w:r w:rsidRPr="00061A5D">
        <w:t xml:space="preserve">validated within the Program. </w:t>
      </w:r>
      <w:r w:rsidR="001C7192" w:rsidRPr="00061A5D">
        <w:t>Any Application</w:t>
      </w:r>
      <w:r w:rsidR="0032578A">
        <w:t xml:space="preserve"> has an applicant and</w:t>
      </w:r>
      <w:r w:rsidRPr="00061A5D">
        <w:t xml:space="preserve"> </w:t>
      </w:r>
      <w:r w:rsidR="005B02C0" w:rsidRPr="00061A5D">
        <w:t xml:space="preserve">is supported by one or more </w:t>
      </w:r>
      <w:r w:rsidR="00676864" w:rsidRPr="00061A5D">
        <w:t>backers</w:t>
      </w:r>
      <w:r w:rsidR="00743184" w:rsidRPr="00061A5D">
        <w:t>, who have committed to co-finan</w:t>
      </w:r>
      <w:r w:rsidR="0032578A">
        <w:t>ce the idea by making a pledge.</w:t>
      </w:r>
    </w:p>
    <w:p w14:paraId="40A46A14" w14:textId="2FDF8B78" w:rsidR="001127EE" w:rsidRPr="00061A5D" w:rsidRDefault="001127EE" w:rsidP="00436714">
      <w:pPr>
        <w:pStyle w:val="COMINNOParagraph"/>
        <w:autoSpaceDN/>
        <w:textAlignment w:val="auto"/>
      </w:pPr>
      <w:bookmarkStart w:id="2" w:name="_Ref77231822"/>
      <w:r w:rsidRPr="00061A5D">
        <w:t>“</w:t>
      </w:r>
      <w:r w:rsidRPr="00061A5D">
        <w:rPr>
          <w:b/>
        </w:rPr>
        <w:t>Association</w:t>
      </w:r>
      <w:r w:rsidR="00B1315E" w:rsidRPr="00061A5D">
        <w:t>”</w:t>
      </w:r>
      <w:r w:rsidR="00987E51" w:rsidRPr="00061A5D">
        <w:t xml:space="preserve"> </w:t>
      </w:r>
      <w:bookmarkEnd w:id="2"/>
      <w:r w:rsidR="000015D6">
        <w:t>see §</w:t>
      </w:r>
      <w:r w:rsidR="000015D6">
        <w:fldChar w:fldCharType="begin"/>
      </w:r>
      <w:r w:rsidR="000015D6">
        <w:instrText xml:space="preserve"> REF _Ref78072376 \r \p \h </w:instrText>
      </w:r>
      <w:r w:rsidR="000015D6">
        <w:fldChar w:fldCharType="separate"/>
      </w:r>
      <w:r w:rsidR="000015D6">
        <w:t>32 below</w:t>
      </w:r>
      <w:r w:rsidR="000015D6">
        <w:fldChar w:fldCharType="end"/>
      </w:r>
      <w:r w:rsidR="000015D6">
        <w:t>.</w:t>
      </w:r>
    </w:p>
    <w:p w14:paraId="03AC0119" w14:textId="64E311F3" w:rsidR="00B170C4" w:rsidRPr="00061A5D" w:rsidRDefault="00B170C4" w:rsidP="00B170C4">
      <w:pPr>
        <w:pStyle w:val="COMINNOParagraph"/>
        <w:autoSpaceDN/>
        <w:textAlignment w:val="auto"/>
      </w:pPr>
      <w:r w:rsidRPr="00061A5D">
        <w:t>“</w:t>
      </w:r>
      <w:r w:rsidRPr="00061A5D">
        <w:rPr>
          <w:b/>
        </w:rPr>
        <w:t>Background IPR</w:t>
      </w:r>
      <w:r w:rsidRPr="00061A5D">
        <w:t xml:space="preserve">” means </w:t>
      </w:r>
      <w:proofErr w:type="gramStart"/>
      <w:r w:rsidRPr="00061A5D">
        <w:t>any and all</w:t>
      </w:r>
      <w:proofErr w:type="gramEnd"/>
      <w:r w:rsidRPr="00061A5D">
        <w:t xml:space="preserve"> IPR of a </w:t>
      </w:r>
      <w:r w:rsidR="001A31EE" w:rsidRPr="00061A5D">
        <w:t>Member</w:t>
      </w:r>
      <w:r w:rsidRPr="00061A5D">
        <w:t xml:space="preserve"> (and its Affiliates) developed or reduced to practice before and after the Effective Date solely by such </w:t>
      </w:r>
      <w:r w:rsidR="001A31EE" w:rsidRPr="00061A5D">
        <w:t xml:space="preserve">Member </w:t>
      </w:r>
      <w:r w:rsidRPr="00061A5D">
        <w:t>(or its Affiliates)</w:t>
      </w:r>
      <w:r w:rsidR="000015D6">
        <w:t xml:space="preserve"> outside of the Programme</w:t>
      </w:r>
      <w:r w:rsidRPr="00061A5D">
        <w:t xml:space="preserve"> and that did not derive from another </w:t>
      </w:r>
      <w:r w:rsidR="001A31EE" w:rsidRPr="00061A5D">
        <w:t>Participant</w:t>
      </w:r>
      <w:r w:rsidRPr="00061A5D">
        <w:t xml:space="preserve">’s Contribution Data without such </w:t>
      </w:r>
      <w:r w:rsidR="001A31EE" w:rsidRPr="00061A5D">
        <w:t>Participant</w:t>
      </w:r>
      <w:r w:rsidRPr="00061A5D">
        <w:t>’s consent.</w:t>
      </w:r>
    </w:p>
    <w:p w14:paraId="4793CDB8" w14:textId="1CF6FCE7" w:rsidR="00801EDD" w:rsidRPr="00061A5D" w:rsidRDefault="00801EDD" w:rsidP="00B029D6">
      <w:pPr>
        <w:pStyle w:val="COMINNOParagraph"/>
      </w:pPr>
      <w:r w:rsidRPr="00061A5D">
        <w:t>“</w:t>
      </w:r>
      <w:r w:rsidRPr="00061A5D">
        <w:rPr>
          <w:b/>
        </w:rPr>
        <w:t>Board</w:t>
      </w:r>
      <w:r w:rsidRPr="00061A5D">
        <w:t xml:space="preserve">” refers to the </w:t>
      </w:r>
      <w:r w:rsidR="0029433C" w:rsidRPr="00061A5D">
        <w:t>executive and representative governing</w:t>
      </w:r>
      <w:r w:rsidR="00E10F81" w:rsidRPr="00061A5D">
        <w:t xml:space="preserve"> or coordinating</w:t>
      </w:r>
      <w:r w:rsidR="0029433C" w:rsidRPr="00061A5D">
        <w:t xml:space="preserve"> </w:t>
      </w:r>
      <w:r w:rsidRPr="00061A5D">
        <w:t>body</w:t>
      </w:r>
      <w:r w:rsidR="00B1736D">
        <w:t xml:space="preserve"> of </w:t>
      </w:r>
      <w:r w:rsidR="0029433C" w:rsidRPr="00061A5D">
        <w:t>the Team.</w:t>
      </w:r>
      <w:r w:rsidRPr="00061A5D">
        <w:rPr>
          <w:highlight w:val="cyan"/>
        </w:rPr>
        <w:t xml:space="preserve"> </w:t>
      </w:r>
    </w:p>
    <w:p w14:paraId="2A9E0CBF" w14:textId="532C5CFD" w:rsidR="00B029D6" w:rsidRPr="00061A5D" w:rsidRDefault="00870D67" w:rsidP="00B029D6">
      <w:pPr>
        <w:pStyle w:val="COMINNOParagraph"/>
      </w:pPr>
      <w:bookmarkStart w:id="3" w:name="_Ref78074337"/>
      <w:r w:rsidRPr="00061A5D">
        <w:t>“</w:t>
      </w:r>
      <w:r w:rsidRPr="00061A5D">
        <w:rPr>
          <w:b/>
        </w:rPr>
        <w:t>Confidential Information</w:t>
      </w:r>
      <w:r w:rsidRPr="00061A5D">
        <w:t>”</w:t>
      </w:r>
      <w:r w:rsidR="00F2647F" w:rsidRPr="00061A5D">
        <w:t xml:space="preserve"> </w:t>
      </w:r>
      <w:r w:rsidR="0006673C" w:rsidRPr="00061A5D">
        <w:t>refers to</w:t>
      </w:r>
      <w:r w:rsidR="00F2647F" w:rsidRPr="00061A5D">
        <w:t xml:space="preserve"> any non-public Contribution Data</w:t>
      </w:r>
      <w:r w:rsidR="0006673C" w:rsidRPr="00061A5D">
        <w:t>, in any form,</w:t>
      </w:r>
      <w:r w:rsidR="00445462" w:rsidRPr="00061A5D">
        <w:t xml:space="preserve"> of a commercial, scientific, </w:t>
      </w:r>
      <w:r w:rsidR="00F2647F" w:rsidRPr="00061A5D">
        <w:t>technical</w:t>
      </w:r>
      <w:r w:rsidR="00445462" w:rsidRPr="00061A5D">
        <w:t>, operational or strategic nature</w:t>
      </w:r>
      <w:r w:rsidR="00F2647F" w:rsidRPr="00061A5D">
        <w:t xml:space="preserve"> </w:t>
      </w:r>
      <w:r w:rsidR="00445462" w:rsidRPr="00061A5D">
        <w:t xml:space="preserve">or of other </w:t>
      </w:r>
      <w:r w:rsidR="00F2647F" w:rsidRPr="00061A5D">
        <w:t xml:space="preserve">proprietary </w:t>
      </w:r>
      <w:r w:rsidR="00445462" w:rsidRPr="00061A5D">
        <w:t>essence</w:t>
      </w:r>
      <w:r w:rsidR="00F2647F" w:rsidRPr="00061A5D">
        <w:t>, including Secrets</w:t>
      </w:r>
      <w:r w:rsidR="00445462" w:rsidRPr="00061A5D">
        <w:t>,</w:t>
      </w:r>
      <w:r w:rsidR="00F2647F" w:rsidRPr="00061A5D">
        <w:t xml:space="preserve"> disclosed by the Disclosing Party</w:t>
      </w:r>
      <w:r w:rsidR="0006673C" w:rsidRPr="00061A5D">
        <w:t xml:space="preserve"> to the Team </w:t>
      </w:r>
      <w:r w:rsidR="00146261" w:rsidRPr="00061A5D">
        <w:t xml:space="preserve">or another Member </w:t>
      </w:r>
      <w:r w:rsidR="00445462" w:rsidRPr="00061A5D">
        <w:t xml:space="preserve">within </w:t>
      </w:r>
      <w:r w:rsidR="00146261" w:rsidRPr="00061A5D">
        <w:t xml:space="preserve">the Team </w:t>
      </w:r>
      <w:r w:rsidR="00F2647F" w:rsidRPr="00061A5D">
        <w:t>and</w:t>
      </w:r>
      <w:r w:rsidR="00B029D6" w:rsidRPr="00061A5D">
        <w:t xml:space="preserve"> that</w:t>
      </w:r>
      <w:r w:rsidR="0006673C" w:rsidRPr="00061A5D">
        <w:t xml:space="preserve"> </w:t>
      </w:r>
      <w:r w:rsidR="00445462" w:rsidRPr="00061A5D">
        <w:t xml:space="preserve">(a) </w:t>
      </w:r>
      <w:r w:rsidR="00F2647F" w:rsidRPr="00061A5D">
        <w:t xml:space="preserve">is </w:t>
      </w:r>
      <w:r w:rsidR="00B029D6" w:rsidRPr="00061A5D">
        <w:t>labelled</w:t>
      </w:r>
      <w:r w:rsidR="00F2647F" w:rsidRPr="00061A5D">
        <w:t xml:space="preserve"> as “confidential”</w:t>
      </w:r>
      <w:r w:rsidR="0006673C" w:rsidRPr="00061A5D">
        <w:t xml:space="preserve"> (or “secret” if a Secret)</w:t>
      </w:r>
      <w:r w:rsidR="00F2647F" w:rsidRPr="00061A5D">
        <w:t xml:space="preserve"> or</w:t>
      </w:r>
      <w:r w:rsidR="00445462" w:rsidRPr="00061A5D">
        <w:t xml:space="preserve"> (b)</w:t>
      </w:r>
      <w:r w:rsidR="00B029D6" w:rsidRPr="00061A5D">
        <w:t xml:space="preserve">, if the Contribution Data is merely disclosed </w:t>
      </w:r>
      <w:r w:rsidR="00B029D6" w:rsidRPr="00061A5D">
        <w:rPr>
          <w:i/>
        </w:rPr>
        <w:t xml:space="preserve">de </w:t>
      </w:r>
      <w:proofErr w:type="spellStart"/>
      <w:r w:rsidR="00B029D6" w:rsidRPr="00061A5D">
        <w:rPr>
          <w:i/>
        </w:rPr>
        <w:t>visu</w:t>
      </w:r>
      <w:proofErr w:type="spellEnd"/>
      <w:r w:rsidR="00B029D6" w:rsidRPr="00061A5D">
        <w:t xml:space="preserve"> (visually) or </w:t>
      </w:r>
      <w:r w:rsidR="00B029D6" w:rsidRPr="00061A5D">
        <w:rPr>
          <w:i/>
        </w:rPr>
        <w:t xml:space="preserve">de </w:t>
      </w:r>
      <w:proofErr w:type="spellStart"/>
      <w:r w:rsidR="00B029D6" w:rsidRPr="00061A5D">
        <w:rPr>
          <w:i/>
        </w:rPr>
        <w:t>auditu</w:t>
      </w:r>
      <w:proofErr w:type="spellEnd"/>
      <w:r w:rsidR="00B029D6" w:rsidRPr="00061A5D">
        <w:t xml:space="preserve"> (orally) is known or should be </w:t>
      </w:r>
      <w:r w:rsidR="000015D6">
        <w:t>known</w:t>
      </w:r>
      <w:r w:rsidR="00B029D6" w:rsidRPr="00061A5D">
        <w:t xml:space="preserve"> as confidential by a reasonable person</w:t>
      </w:r>
      <w:r w:rsidR="000015D6">
        <w:t xml:space="preserve"> seeing or hearing it.</w:t>
      </w:r>
      <w:bookmarkEnd w:id="3"/>
    </w:p>
    <w:p w14:paraId="799DD284" w14:textId="71CD3A10" w:rsidR="00B37456" w:rsidRPr="00061A5D" w:rsidRDefault="00E21804" w:rsidP="00B170C4">
      <w:pPr>
        <w:pStyle w:val="COMINNOParagraph"/>
        <w:autoSpaceDN/>
        <w:textAlignment w:val="auto"/>
      </w:pPr>
      <w:r w:rsidRPr="00061A5D">
        <w:t>“</w:t>
      </w:r>
      <w:r w:rsidRPr="00061A5D">
        <w:rPr>
          <w:b/>
        </w:rPr>
        <w:t>Contact Person</w:t>
      </w:r>
      <w:r w:rsidRPr="00061A5D">
        <w:t xml:space="preserve">” is the natural person who </w:t>
      </w:r>
      <w:r w:rsidR="00C46EA3" w:rsidRPr="00061A5D">
        <w:t>operates</w:t>
      </w:r>
      <w:r w:rsidR="000931BA" w:rsidRPr="00061A5D">
        <w:t xml:space="preserve"> as the</w:t>
      </w:r>
      <w:r w:rsidR="007B1467" w:rsidRPr="00061A5D">
        <w:t xml:space="preserve"> Member’s</w:t>
      </w:r>
      <w:r w:rsidRPr="00061A5D">
        <w:t xml:space="preserve"> internal project manager and acts as </w:t>
      </w:r>
      <w:r w:rsidR="007B1467" w:rsidRPr="00061A5D">
        <w:t xml:space="preserve">the Member’s </w:t>
      </w:r>
      <w:r w:rsidRPr="00061A5D">
        <w:t xml:space="preserve">representative </w:t>
      </w:r>
      <w:r w:rsidR="001204EF" w:rsidRPr="00061A5D">
        <w:t>with</w:t>
      </w:r>
      <w:r w:rsidR="00C46EA3" w:rsidRPr="00061A5D">
        <w:t xml:space="preserve">in the Team, at least </w:t>
      </w:r>
      <w:r w:rsidRPr="00061A5D">
        <w:t xml:space="preserve">within the framework of the Programme. The Contact Person’s details </w:t>
      </w:r>
      <w:r w:rsidR="007B1467" w:rsidRPr="00061A5D">
        <w:t xml:space="preserve">given by the Member </w:t>
      </w:r>
      <w:r w:rsidRPr="00061A5D">
        <w:t xml:space="preserve">are </w:t>
      </w:r>
      <w:r w:rsidR="000931BA" w:rsidRPr="00061A5D">
        <w:t xml:space="preserve">deemed valid </w:t>
      </w:r>
      <w:r w:rsidRPr="00061A5D">
        <w:t xml:space="preserve">for </w:t>
      </w:r>
      <w:r w:rsidR="007B1467" w:rsidRPr="00061A5D">
        <w:t>any notification required or provided by</w:t>
      </w:r>
      <w:r w:rsidR="001204EF" w:rsidRPr="00061A5D">
        <w:t xml:space="preserve"> the TPC Rules</w:t>
      </w:r>
      <w:r w:rsidRPr="00061A5D">
        <w:t>.</w:t>
      </w:r>
      <w:r w:rsidR="00EC0D8E" w:rsidRPr="00061A5D">
        <w:t xml:space="preserve"> Should the Member already be a natural person, the Member and the Contact Person are one and the same</w:t>
      </w:r>
      <w:r w:rsidR="00CC6BDD" w:rsidRPr="00061A5D">
        <w:t xml:space="preserve">, </w:t>
      </w:r>
      <w:r w:rsidR="00F52965" w:rsidRPr="00061A5D">
        <w:t xml:space="preserve">except </w:t>
      </w:r>
      <w:r w:rsidR="006D13CB" w:rsidRPr="00061A5D">
        <w:t>for</w:t>
      </w:r>
      <w:r w:rsidR="00F52965" w:rsidRPr="00061A5D">
        <w:t xml:space="preserve"> proxy</w:t>
      </w:r>
      <w:r w:rsidR="00CC6BDD" w:rsidRPr="00061A5D">
        <w:t>.</w:t>
      </w:r>
    </w:p>
    <w:p w14:paraId="28770E00" w14:textId="2F475F84" w:rsidR="00870D67" w:rsidRPr="00061A5D" w:rsidRDefault="00B37456" w:rsidP="00B37456">
      <w:pPr>
        <w:pStyle w:val="COMINNOParagraph"/>
        <w:numPr>
          <w:ilvl w:val="0"/>
          <w:numId w:val="0"/>
        </w:numPr>
        <w:autoSpaceDN/>
        <w:ind w:left="31"/>
        <w:textAlignment w:val="auto"/>
      </w:pPr>
      <w:r w:rsidRPr="00061A5D">
        <w:lastRenderedPageBreak/>
        <w:t>Unless disposed otherwise, the</w:t>
      </w:r>
      <w:r w:rsidR="00AC4A27" w:rsidRPr="00061A5D">
        <w:t xml:space="preserve"> Team’s</w:t>
      </w:r>
      <w:r w:rsidRPr="00061A5D">
        <w:t xml:space="preserve"> Contact Person towards the Operator is the</w:t>
      </w:r>
      <w:r w:rsidR="00AC4A27" w:rsidRPr="00061A5D">
        <w:t xml:space="preserve"> Project Manager’s</w:t>
      </w:r>
      <w:r w:rsidRPr="00061A5D">
        <w:t xml:space="preserve"> Contact Person, alternatively any other member of the Board</w:t>
      </w:r>
      <w:r w:rsidR="00B1736D">
        <w:t>’s Contact Person</w:t>
      </w:r>
      <w:r w:rsidRPr="00061A5D">
        <w:t>.</w:t>
      </w:r>
      <w:r w:rsidR="00801EDD" w:rsidRPr="00061A5D">
        <w:t xml:space="preserve"> In the absence of a </w:t>
      </w:r>
      <w:r w:rsidR="00B1736D">
        <w:t xml:space="preserve">designated </w:t>
      </w:r>
      <w:r w:rsidR="00801EDD" w:rsidRPr="00061A5D">
        <w:t xml:space="preserve">Board, the Application’s applicant </w:t>
      </w:r>
      <w:r w:rsidR="00AC4A27" w:rsidRPr="00061A5D">
        <w:t>is deemed the Project Manage</w:t>
      </w:r>
      <w:r w:rsidR="00B1736D">
        <w:t>r</w:t>
      </w:r>
      <w:r w:rsidR="00AC4A27" w:rsidRPr="00061A5D">
        <w:t>.</w:t>
      </w:r>
    </w:p>
    <w:p w14:paraId="057DBB97" w14:textId="7C2FD2E9" w:rsidR="00330A47" w:rsidRPr="00061A5D" w:rsidRDefault="00330A47" w:rsidP="00B170C4">
      <w:pPr>
        <w:pStyle w:val="COMINNOParagraph"/>
        <w:autoSpaceDN/>
        <w:textAlignment w:val="auto"/>
      </w:pPr>
      <w:r w:rsidRPr="00061A5D">
        <w:t>“</w:t>
      </w:r>
      <w:r w:rsidRPr="00061A5D">
        <w:rPr>
          <w:b/>
        </w:rPr>
        <w:t>Contribution Data</w:t>
      </w:r>
      <w:r w:rsidRPr="00061A5D">
        <w:t xml:space="preserve">” </w:t>
      </w:r>
      <w:r w:rsidR="007E50AF" w:rsidRPr="00061A5D">
        <w:t>refers to any idea, know-how, document, drawing, file or other form of information that is shared among the Participant</w:t>
      </w:r>
      <w:r w:rsidR="00B1736D">
        <w:t>s, respectively the Members of the</w:t>
      </w:r>
      <w:r w:rsidR="007E50AF" w:rsidRPr="00061A5D">
        <w:t xml:space="preserve"> Team</w:t>
      </w:r>
      <w:r w:rsidR="00735B57" w:rsidRPr="00061A5D">
        <w:t>, as part of the Programme, in particular in the Feasibility Study</w:t>
      </w:r>
      <w:r w:rsidR="007E50AF" w:rsidRPr="00061A5D">
        <w:t>; Contribution Data should</w:t>
      </w:r>
      <w:r w:rsidR="001747D8" w:rsidRPr="00061A5D">
        <w:t>, as much as practical,</w:t>
      </w:r>
      <w:r w:rsidR="007E50AF" w:rsidRPr="00061A5D">
        <w:t xml:space="preserve"> be documented or recorded in a dated, replicable, human-readable, disposable and transferable format, </w:t>
      </w:r>
      <w:proofErr w:type="gramStart"/>
      <w:r w:rsidR="007E50AF" w:rsidRPr="00061A5D">
        <w:t>e.g.</w:t>
      </w:r>
      <w:proofErr w:type="gramEnd"/>
      <w:r w:rsidR="007E50AF" w:rsidRPr="00061A5D">
        <w:t xml:space="preserve"> to be stored in the Data Room.</w:t>
      </w:r>
      <w:r w:rsidR="00AF262F" w:rsidRPr="00061A5D">
        <w:t xml:space="preserve"> Contribution Data</w:t>
      </w:r>
      <w:r w:rsidR="00CE3138" w:rsidRPr="00061A5D">
        <w:t xml:space="preserve"> may</w:t>
      </w:r>
      <w:r w:rsidR="00AF262F" w:rsidRPr="00061A5D">
        <w:t xml:space="preserve"> </w:t>
      </w:r>
      <w:r w:rsidR="00CE3138" w:rsidRPr="00061A5D">
        <w:t>consist</w:t>
      </w:r>
      <w:r w:rsidR="00AF262F" w:rsidRPr="00061A5D">
        <w:t xml:space="preserve"> of Confidential Information</w:t>
      </w:r>
      <w:r w:rsidR="001747D8" w:rsidRPr="00061A5D">
        <w:t xml:space="preserve"> or, by extension, Secrets</w:t>
      </w:r>
      <w:r w:rsidR="00AF262F" w:rsidRPr="00061A5D">
        <w:t>.</w:t>
      </w:r>
    </w:p>
    <w:p w14:paraId="2F5F4D8F" w14:textId="3FF331DE" w:rsidR="008A6B74" w:rsidRPr="00061A5D" w:rsidRDefault="008A6B74" w:rsidP="00B170C4">
      <w:pPr>
        <w:pStyle w:val="COMINNOParagraph"/>
        <w:autoSpaceDN/>
        <w:textAlignment w:val="auto"/>
      </w:pPr>
      <w:r w:rsidRPr="00061A5D">
        <w:t>“</w:t>
      </w:r>
      <w:r w:rsidRPr="00061A5D">
        <w:rPr>
          <w:b/>
        </w:rPr>
        <w:t>Data Room</w:t>
      </w:r>
      <w:r w:rsidRPr="00061A5D">
        <w:t>”</w:t>
      </w:r>
      <w:r w:rsidR="005951D7" w:rsidRPr="00061A5D">
        <w:t xml:space="preserve"> refers to the </w:t>
      </w:r>
      <w:r w:rsidR="00DD5E5D" w:rsidRPr="00061A5D">
        <w:t xml:space="preserve">digital </w:t>
      </w:r>
      <w:r w:rsidR="005951D7" w:rsidRPr="00061A5D">
        <w:t xml:space="preserve">privative </w:t>
      </w:r>
      <w:r w:rsidR="00367F96" w:rsidRPr="00061A5D">
        <w:t>file hosting</w:t>
      </w:r>
      <w:r w:rsidR="005951D7" w:rsidRPr="00061A5D">
        <w:t xml:space="preserve"> space made available</w:t>
      </w:r>
      <w:r w:rsidR="00367F96" w:rsidRPr="00061A5D">
        <w:t xml:space="preserve"> to the Team</w:t>
      </w:r>
      <w:r w:rsidR="005951D7" w:rsidRPr="00061A5D">
        <w:t xml:space="preserve"> by the Operator on the Platform </w:t>
      </w:r>
      <w:r w:rsidR="00367F96" w:rsidRPr="00061A5D">
        <w:t>for</w:t>
      </w:r>
      <w:r w:rsidR="004A106A" w:rsidRPr="00061A5D">
        <w:t xml:space="preserve"> the sharing &amp;</w:t>
      </w:r>
      <w:r w:rsidR="00367F96" w:rsidRPr="00061A5D">
        <w:t xml:space="preserve"> organising </w:t>
      </w:r>
      <w:r w:rsidR="004A106A" w:rsidRPr="00061A5D">
        <w:t xml:space="preserve">of </w:t>
      </w:r>
      <w:r w:rsidR="00367F96" w:rsidRPr="00061A5D">
        <w:t xml:space="preserve">Contribution Data </w:t>
      </w:r>
      <w:r w:rsidR="004A106A" w:rsidRPr="00061A5D">
        <w:t xml:space="preserve">as well as the </w:t>
      </w:r>
      <w:r w:rsidR="00367F96" w:rsidRPr="00061A5D">
        <w:t xml:space="preserve">documenting </w:t>
      </w:r>
      <w:r w:rsidR="004A106A" w:rsidRPr="00061A5D">
        <w:t xml:space="preserve">of </w:t>
      </w:r>
      <w:r w:rsidR="00367F96" w:rsidRPr="00061A5D">
        <w:t>the collaborative work in the Feasibility Study.</w:t>
      </w:r>
    </w:p>
    <w:p w14:paraId="5A768AEF" w14:textId="14D06734" w:rsidR="00B170C4" w:rsidRPr="00061A5D" w:rsidRDefault="00B170C4" w:rsidP="00B170C4">
      <w:pPr>
        <w:pStyle w:val="COMINNOParagraph"/>
        <w:autoSpaceDN/>
        <w:textAlignment w:val="auto"/>
      </w:pPr>
      <w:bookmarkStart w:id="4" w:name="_Ref78037268"/>
      <w:r w:rsidRPr="00061A5D">
        <w:t>“</w:t>
      </w:r>
      <w:r w:rsidRPr="00061A5D">
        <w:rPr>
          <w:b/>
        </w:rPr>
        <w:t>Derivative work</w:t>
      </w:r>
      <w:r w:rsidRPr="00061A5D">
        <w:t>” means</w:t>
      </w:r>
      <w:r w:rsidR="00B1736D">
        <w:t>, during and within the Programme,</w:t>
      </w:r>
      <w:r w:rsidRPr="00061A5D">
        <w:t xml:space="preserve"> that which, while constituting a new IPR-protectable intangible asset</w:t>
      </w:r>
      <w:r w:rsidR="00B1736D">
        <w:t xml:space="preserve"> (Foreground IPR)</w:t>
      </w:r>
      <w:r w:rsidRPr="00061A5D">
        <w:t>, is derived from and the result of the transformation or improvement of an original IPR-protectable intangible asset, such as a work of authorship or an invention.</w:t>
      </w:r>
      <w:r w:rsidR="00870D67" w:rsidRPr="00061A5D">
        <w:t xml:space="preserve"> Secrets (</w:t>
      </w:r>
      <w:proofErr w:type="gramStart"/>
      <w:r w:rsidR="00870D67" w:rsidRPr="00061A5D">
        <w:t>e.g.</w:t>
      </w:r>
      <w:proofErr w:type="gramEnd"/>
      <w:r w:rsidR="00870D67" w:rsidRPr="00061A5D">
        <w:t xml:space="preserve"> unpatented materials intended for patenting) </w:t>
      </w:r>
      <w:r w:rsidR="00427F3C" w:rsidRPr="00061A5D">
        <w:t>are</w:t>
      </w:r>
      <w:r w:rsidR="005B02C0" w:rsidRPr="00061A5D">
        <w:t xml:space="preserve"> apt to</w:t>
      </w:r>
      <w:r w:rsidR="00870D67" w:rsidRPr="00061A5D">
        <w:t xml:space="preserve"> constitute </w:t>
      </w:r>
      <w:r w:rsidR="005B02C0" w:rsidRPr="00061A5D">
        <w:t>original IPR-protectable intangible assets capable of generating Derivative works (e.g. patent) under this definition.</w:t>
      </w:r>
      <w:bookmarkEnd w:id="4"/>
      <w:r w:rsidRPr="00061A5D">
        <w:t xml:space="preserve"> </w:t>
      </w:r>
    </w:p>
    <w:p w14:paraId="7D5776DC" w14:textId="77777777" w:rsidR="0083168D" w:rsidRPr="00061A5D" w:rsidRDefault="0083168D" w:rsidP="0083168D">
      <w:pPr>
        <w:pStyle w:val="COMINNOParagraph"/>
      </w:pPr>
      <w:r w:rsidRPr="00061A5D">
        <w:t>“</w:t>
      </w:r>
      <w:r w:rsidRPr="00061A5D">
        <w:rPr>
          <w:b/>
        </w:rPr>
        <w:t>Effective Date</w:t>
      </w:r>
      <w:r w:rsidRPr="00061A5D">
        <w:t>” means the date on which the Team is officially constituted. Such date is given by the Operator as it ratifies the TPC Rules.</w:t>
      </w:r>
    </w:p>
    <w:p w14:paraId="566CB98E" w14:textId="17EB6A63" w:rsidR="0083168D" w:rsidRPr="00061A5D" w:rsidRDefault="0083168D" w:rsidP="0083168D">
      <w:pPr>
        <w:pStyle w:val="COMINNOParagraph"/>
        <w:rPr>
          <w:i/>
        </w:rPr>
      </w:pPr>
      <w:r w:rsidRPr="00061A5D">
        <w:t>“</w:t>
      </w:r>
      <w:r w:rsidRPr="00061A5D">
        <w:rPr>
          <w:b/>
        </w:rPr>
        <w:t>Feasibility Study</w:t>
      </w:r>
      <w:r w:rsidRPr="00061A5D">
        <w:t>” corresponds to the second part of Phase II of the Program as a temporal and legal framework set out in the Terms of Service; it is predefined as a</w:t>
      </w:r>
      <w:r w:rsidR="00DF23D1" w:rsidRPr="00061A5D">
        <w:t xml:space="preserve"> fixed</w:t>
      </w:r>
      <w:r w:rsidRPr="00061A5D">
        <w:t xml:space="preserve"> period of 6 months as of the Operator’s notice, extensible at the Operator’s discretion.</w:t>
      </w:r>
    </w:p>
    <w:p w14:paraId="24176AF5" w14:textId="1A13E09A" w:rsidR="0083168D" w:rsidRPr="00061A5D" w:rsidRDefault="0083168D" w:rsidP="0083168D">
      <w:pPr>
        <w:pStyle w:val="COMINNOParagraph"/>
        <w:rPr>
          <w:i/>
        </w:rPr>
      </w:pPr>
      <w:r w:rsidRPr="00061A5D">
        <w:t>“</w:t>
      </w:r>
      <w:r w:rsidRPr="00061A5D">
        <w:rPr>
          <w:b/>
        </w:rPr>
        <w:t>Financial Clerk</w:t>
      </w:r>
      <w:r w:rsidRPr="00061A5D">
        <w:t>” refers to the Member responsible for the financial, money-managing affairs of the Team; the Financial Clerk is appointed by the Team.</w:t>
      </w:r>
    </w:p>
    <w:p w14:paraId="316F01D6" w14:textId="7D3ED56B" w:rsidR="0083168D" w:rsidRPr="00061A5D" w:rsidRDefault="0083168D" w:rsidP="0083168D">
      <w:pPr>
        <w:pStyle w:val="COMINNOParagraph"/>
        <w:rPr>
          <w:i/>
        </w:rPr>
      </w:pPr>
      <w:r w:rsidRPr="00061A5D">
        <w:t>“</w:t>
      </w:r>
      <w:r w:rsidRPr="00061A5D">
        <w:rPr>
          <w:b/>
        </w:rPr>
        <w:t>Foreground IPR</w:t>
      </w:r>
      <w:r w:rsidRPr="00061A5D">
        <w:t xml:space="preserve">” means </w:t>
      </w:r>
      <w:proofErr w:type="gramStart"/>
      <w:r w:rsidRPr="00061A5D">
        <w:t>any and all</w:t>
      </w:r>
      <w:proofErr w:type="gramEnd"/>
      <w:r w:rsidRPr="00061A5D">
        <w:t xml:space="preserve"> IPR which are conceived, made, reduced to practice or </w:t>
      </w:r>
      <w:r w:rsidR="00B1736D">
        <w:t>developed</w:t>
      </w:r>
      <w:r w:rsidRPr="00061A5D">
        <w:t xml:space="preserve"> by the </w:t>
      </w:r>
      <w:r w:rsidR="00864AEF">
        <w:t>Members</w:t>
      </w:r>
      <w:r w:rsidRPr="00061A5D">
        <w:t xml:space="preserve"> in the course of any work performed as part of the Programme under this Agreement, within the Feasibility Study and/or within the Team.</w:t>
      </w:r>
    </w:p>
    <w:p w14:paraId="59FE46D1" w14:textId="18B64376" w:rsidR="0083168D" w:rsidRPr="00061A5D" w:rsidRDefault="0083168D" w:rsidP="0083168D">
      <w:pPr>
        <w:pStyle w:val="COMINNOParagraph"/>
        <w:rPr>
          <w:i/>
        </w:rPr>
      </w:pPr>
      <w:r w:rsidRPr="00061A5D">
        <w:t>“</w:t>
      </w:r>
      <w:r w:rsidRPr="00061A5D">
        <w:rPr>
          <w:b/>
        </w:rPr>
        <w:t>Forge</w:t>
      </w:r>
      <w:r w:rsidRPr="00061A5D">
        <w:t>” or “</w:t>
      </w:r>
      <w:proofErr w:type="spellStart"/>
      <w:r w:rsidRPr="00061A5D">
        <w:rPr>
          <w:b/>
        </w:rPr>
        <w:t>Contributive</w:t>
      </w:r>
      <w:proofErr w:type="spellEnd"/>
      <w:r w:rsidRPr="00061A5D">
        <w:rPr>
          <w:b/>
        </w:rPr>
        <w:t xml:space="preserve"> Forge</w:t>
      </w:r>
      <w:r w:rsidRPr="00061A5D">
        <w:t xml:space="preserve">” means any collaborative online platform &amp; repository to share, contribute to, and manage community-driven R&amp;D projects under Libre licenses. Notable examples: </w:t>
      </w:r>
      <w:commentRangeStart w:id="5"/>
      <w:r w:rsidRPr="00061A5D">
        <w:t xml:space="preserve">SourceForge.net, </w:t>
      </w:r>
      <w:commentRangeEnd w:id="5"/>
      <w:r w:rsidRPr="00061A5D">
        <w:rPr>
          <w:rStyle w:val="Marquedecommentaire"/>
          <w:rFonts w:eastAsia="Noto Serif CJK SC"/>
          <w:lang w:eastAsia="zh-CN"/>
        </w:rPr>
        <w:commentReference w:id="5"/>
      </w:r>
      <w:commentRangeStart w:id="6"/>
      <w:r w:rsidRPr="00061A5D">
        <w:t xml:space="preserve">Github.com </w:t>
      </w:r>
      <w:commentRangeEnd w:id="6"/>
      <w:r w:rsidRPr="00061A5D">
        <w:rPr>
          <w:rStyle w:val="Marquedecommentaire"/>
          <w:rFonts w:eastAsia="Noto Serif CJK SC"/>
          <w:lang w:eastAsia="zh-CN"/>
        </w:rPr>
        <w:commentReference w:id="6"/>
      </w:r>
      <w:r w:rsidRPr="00061A5D">
        <w:t xml:space="preserve">(for software development; </w:t>
      </w:r>
      <w:proofErr w:type="gramStart"/>
      <w:r w:rsidRPr="00061A5D">
        <w:t>also</w:t>
      </w:r>
      <w:proofErr w:type="gramEnd"/>
      <w:r w:rsidRPr="00061A5D">
        <w:t xml:space="preserve"> hardware, database…), </w:t>
      </w:r>
      <w:commentRangeStart w:id="7"/>
      <w:r w:rsidRPr="00061A5D">
        <w:t>OHWR.org</w:t>
      </w:r>
      <w:commentRangeEnd w:id="7"/>
      <w:r w:rsidRPr="00061A5D">
        <w:rPr>
          <w:rStyle w:val="Marquedecommentaire"/>
          <w:rFonts w:eastAsia="Noto Serif CJK SC"/>
          <w:lang w:eastAsia="zh-CN"/>
        </w:rPr>
        <w:commentReference w:id="7"/>
      </w:r>
      <w:r w:rsidRPr="00061A5D">
        <w:t xml:space="preserve"> (for electronics design, hardware development), </w:t>
      </w:r>
      <w:commentRangeStart w:id="8"/>
      <w:r w:rsidRPr="00061A5D">
        <w:t>Wikipedia</w:t>
      </w:r>
      <w:commentRangeEnd w:id="8"/>
      <w:r w:rsidRPr="00061A5D">
        <w:rPr>
          <w:rStyle w:val="Marquedecommentaire"/>
          <w:rFonts w:eastAsia="Noto Serif CJK SC"/>
          <w:lang w:eastAsia="zh-CN"/>
        </w:rPr>
        <w:commentReference w:id="8"/>
      </w:r>
      <w:r w:rsidR="00864AEF">
        <w:t>.org</w:t>
      </w:r>
      <w:r w:rsidRPr="00061A5D">
        <w:t xml:space="preserve"> (for encyclopaedia content), </w:t>
      </w:r>
      <w:commentRangeStart w:id="9"/>
      <w:r w:rsidRPr="00061A5D">
        <w:t>Joinup.eu</w:t>
      </w:r>
      <w:commentRangeEnd w:id="9"/>
      <w:r w:rsidRPr="00061A5D">
        <w:rPr>
          <w:rStyle w:val="Marquedecommentaire"/>
          <w:rFonts w:eastAsia="Noto Serif CJK SC"/>
          <w:lang w:eastAsia="zh-CN"/>
        </w:rPr>
        <w:commentReference w:id="9"/>
      </w:r>
      <w:r w:rsidRPr="00061A5D">
        <w:t xml:space="preserve"> (for software and interoperable assets/models of all kind).</w:t>
      </w:r>
      <w:r w:rsidR="00543EF3" w:rsidRPr="00061A5D">
        <w:t xml:space="preserve"> The Operator may accommodate for a looser </w:t>
      </w:r>
      <w:r w:rsidR="005273ED" w:rsidRPr="00061A5D">
        <w:t xml:space="preserve">“Forge” </w:t>
      </w:r>
      <w:r w:rsidR="00543EF3" w:rsidRPr="00061A5D">
        <w:t>definition if circumstances warrant.</w:t>
      </w:r>
    </w:p>
    <w:p w14:paraId="1171A13C" w14:textId="45CCF15F" w:rsidR="00D0018A" w:rsidRPr="00061A5D" w:rsidRDefault="00D0018A" w:rsidP="00D0018A">
      <w:pPr>
        <w:pStyle w:val="COMINNOParagraph"/>
        <w:rPr>
          <w:i/>
        </w:rPr>
      </w:pPr>
      <w:r w:rsidRPr="00061A5D">
        <w:t>“</w:t>
      </w:r>
      <w:r w:rsidRPr="00061A5D">
        <w:rPr>
          <w:b/>
        </w:rPr>
        <w:t>Libre licence</w:t>
      </w:r>
      <w:r w:rsidRPr="00061A5D">
        <w:t>” means an IPR-based license that satisfies the criteria of the Open Source Initiative</w:t>
      </w:r>
      <w:r w:rsidR="00864AEF">
        <w:rPr>
          <w:rStyle w:val="Appelnotedebasdep"/>
        </w:rPr>
        <w:footnoteReference w:id="1"/>
      </w:r>
      <w:r w:rsidRPr="00061A5D">
        <w:t>, of the Open Source Hardware Definition 1.0</w:t>
      </w:r>
      <w:r w:rsidR="00864AEF">
        <w:rPr>
          <w:rStyle w:val="Appelnotedebasdep"/>
        </w:rPr>
        <w:footnoteReference w:id="2"/>
      </w:r>
      <w:r w:rsidRPr="00061A5D">
        <w:t>, of the Free Software Foundation</w:t>
      </w:r>
      <w:r w:rsidR="00864AEF">
        <w:rPr>
          <w:rStyle w:val="Appelnotedebasdep"/>
        </w:rPr>
        <w:footnoteReference w:id="3"/>
      </w:r>
      <w:r w:rsidRPr="00061A5D">
        <w:t xml:space="preserve"> or of the </w:t>
      </w:r>
      <w:r w:rsidRPr="00061A5D">
        <w:lastRenderedPageBreak/>
        <w:t>Open Content Definition</w:t>
      </w:r>
      <w:r w:rsidR="00864AEF">
        <w:rPr>
          <w:rStyle w:val="Appelnotedebasdep"/>
        </w:rPr>
        <w:footnoteReference w:id="4"/>
      </w:r>
      <w:r w:rsidRPr="00061A5D">
        <w:t xml:space="preserve">, or any other standardised or </w:t>
      </w:r>
      <w:r w:rsidRPr="00061A5D">
        <w:rPr>
          <w:i/>
        </w:rPr>
        <w:t>ad hoc</w:t>
      </w:r>
      <w:r w:rsidR="001204EF" w:rsidRPr="00061A5D">
        <w:t xml:space="preserve"> license for a</w:t>
      </w:r>
      <w:r w:rsidRPr="00061A5D">
        <w:t xml:space="preserve"> IPR-protectable intangible asset that irrevocably guarantees, for any purpose, the freedoms to study, to use, to modify or produce and to distribute such IPR-protected intangible asset, as well as the obligation to mention the </w:t>
      </w:r>
      <w:r w:rsidR="00864AEF">
        <w:t>contributor</w:t>
      </w:r>
      <w:r w:rsidRPr="00061A5D">
        <w:t xml:space="preserve"> </w:t>
      </w:r>
      <w:r w:rsidR="00864AEF">
        <w:t xml:space="preserve">or owner </w:t>
      </w:r>
      <w:r w:rsidRPr="00061A5D">
        <w:t>of such IPR-subjected intangible asset. The licence may also require that all Derivative work be placed under the same or an equivalent libre licence (share-alike principle). Libre licensing limited to intangible assets of a specific jurisdiction (</w:t>
      </w:r>
      <w:proofErr w:type="gramStart"/>
      <w:r w:rsidRPr="00061A5D">
        <w:t>e.g.</w:t>
      </w:r>
      <w:proofErr w:type="gramEnd"/>
      <w:r w:rsidRPr="00061A5D">
        <w:t xml:space="preserve"> only in Switzerland) is admissible in accordance with the principle of territoriality.</w:t>
      </w:r>
    </w:p>
    <w:p w14:paraId="01EC783B" w14:textId="6B07D4A8" w:rsidR="0083168D" w:rsidRPr="00061A5D" w:rsidRDefault="0083168D" w:rsidP="0083168D">
      <w:pPr>
        <w:pStyle w:val="COMINNOParagraph"/>
        <w:autoSpaceDN/>
        <w:textAlignment w:val="auto"/>
      </w:pPr>
      <w:bookmarkStart w:id="10" w:name="_Ref77581790"/>
      <w:r w:rsidRPr="00061A5D">
        <w:t>“</w:t>
      </w:r>
      <w:r w:rsidRPr="00061A5D">
        <w:rPr>
          <w:b/>
        </w:rPr>
        <w:t>Intellectual Property Rights</w:t>
      </w:r>
      <w:r w:rsidRPr="00061A5D">
        <w:t>” or “</w:t>
      </w:r>
      <w:r w:rsidRPr="00061A5D">
        <w:rPr>
          <w:b/>
        </w:rPr>
        <w:t>IPR</w:t>
      </w:r>
      <w:r w:rsidRPr="00061A5D">
        <w:t xml:space="preserve">” means </w:t>
      </w:r>
      <w:proofErr w:type="gramStart"/>
      <w:r w:rsidRPr="00061A5D">
        <w:t>any and all</w:t>
      </w:r>
      <w:proofErr w:type="gramEnd"/>
      <w:r w:rsidRPr="00061A5D">
        <w:t xml:space="preserve"> immaterial items or assets protected by the laws on copyright and related rights, patents for inventions, the protection of designs or of plant varieties, as well as Secret</w:t>
      </w:r>
      <w:r w:rsidR="0006673C" w:rsidRPr="00061A5D">
        <w:t>s</w:t>
      </w:r>
      <w:r w:rsidR="00FD6CB0" w:rsidRPr="00061A5D">
        <w:t>.</w:t>
      </w:r>
      <w:r w:rsidRPr="00061A5D">
        <w:t xml:space="preserve"> Trademarks are out of scope unless specified or stipulated otherwise.</w:t>
      </w:r>
      <w:bookmarkEnd w:id="10"/>
    </w:p>
    <w:p w14:paraId="3A587384" w14:textId="68DF2FED" w:rsidR="0083168D" w:rsidRPr="00061A5D" w:rsidRDefault="0083168D" w:rsidP="0083168D">
      <w:pPr>
        <w:pStyle w:val="COMINNOParagraph"/>
        <w:rPr>
          <w:i/>
        </w:rPr>
      </w:pPr>
      <w:r w:rsidRPr="00061A5D">
        <w:t>“</w:t>
      </w:r>
      <w:r w:rsidRPr="00061A5D">
        <w:rPr>
          <w:b/>
        </w:rPr>
        <w:t>Member</w:t>
      </w:r>
      <w:r w:rsidRPr="00061A5D">
        <w:t xml:space="preserve">” refers to any eligible Participant that has entered a Team Project Agreement either as </w:t>
      </w:r>
      <w:r w:rsidR="00B6134D">
        <w:t>a partner</w:t>
      </w:r>
      <w:r w:rsidR="004D59A8">
        <w:t>,</w:t>
      </w:r>
      <w:r w:rsidRPr="00061A5D">
        <w:t xml:space="preserve"> </w:t>
      </w:r>
      <w:r w:rsidR="00B6134D">
        <w:t xml:space="preserve">an </w:t>
      </w:r>
      <w:r w:rsidRPr="00061A5D">
        <w:t xml:space="preserve">associative </w:t>
      </w:r>
      <w:r w:rsidR="00864AEF">
        <w:t xml:space="preserve">or corporate </w:t>
      </w:r>
      <w:r w:rsidRPr="00061A5D">
        <w:t>member</w:t>
      </w:r>
      <w:r w:rsidR="004D59A8">
        <w:t xml:space="preserve"> or a party of any other type</w:t>
      </w:r>
      <w:r w:rsidRPr="00061A5D">
        <w:t xml:space="preserve">. </w:t>
      </w:r>
    </w:p>
    <w:p w14:paraId="69FC4EBF" w14:textId="4FD52CD2" w:rsidR="0083168D" w:rsidRPr="00061A5D" w:rsidRDefault="0083168D" w:rsidP="0083168D">
      <w:pPr>
        <w:pStyle w:val="COMINNOParagraph"/>
      </w:pPr>
      <w:r w:rsidRPr="00061A5D">
        <w:t>“</w:t>
      </w:r>
      <w:r w:rsidRPr="00061A5D">
        <w:rPr>
          <w:b/>
        </w:rPr>
        <w:t>Operator</w:t>
      </w:r>
      <w:r w:rsidRPr="00061A5D">
        <w:t xml:space="preserve">” is the legal entity organising the Programme to which the Participants sign up, </w:t>
      </w:r>
      <w:proofErr w:type="gramStart"/>
      <w:r w:rsidRPr="00061A5D">
        <w:t>in particular through</w:t>
      </w:r>
      <w:proofErr w:type="gramEnd"/>
      <w:r w:rsidRPr="00061A5D">
        <w:t xml:space="preserve"> the Terms of Service. </w:t>
      </w:r>
      <w:r w:rsidR="004D59A8">
        <w:t>The Operator is, as such, not bound by the TPC Rules since they are only concluded between the Members (cf. §</w:t>
      </w:r>
      <w:r w:rsidR="004D59A8">
        <w:fldChar w:fldCharType="begin"/>
      </w:r>
      <w:r w:rsidR="004D59A8">
        <w:instrText xml:space="preserve"> REF _Ref78074070 \r \h </w:instrText>
      </w:r>
      <w:r w:rsidR="004D59A8">
        <w:fldChar w:fldCharType="separate"/>
      </w:r>
      <w:r w:rsidR="004D59A8">
        <w:t>36</w:t>
      </w:r>
      <w:r w:rsidR="004D59A8">
        <w:fldChar w:fldCharType="end"/>
      </w:r>
      <w:r w:rsidR="004D59A8">
        <w:t>).</w:t>
      </w:r>
    </w:p>
    <w:p w14:paraId="3821436C" w14:textId="77777777" w:rsidR="0083168D" w:rsidRPr="00061A5D" w:rsidRDefault="0083168D" w:rsidP="0083168D">
      <w:pPr>
        <w:pStyle w:val="COMINNOParagraph"/>
      </w:pPr>
      <w:r w:rsidRPr="00061A5D">
        <w:t>“</w:t>
      </w:r>
      <w:r w:rsidRPr="00061A5D">
        <w:rPr>
          <w:b/>
        </w:rPr>
        <w:t>Participant</w:t>
      </w:r>
      <w:r w:rsidRPr="00061A5D">
        <w:t>” is any natural person or legal entity that validly holds an active account on the Programme’s online platform (https://microtechbooster.swiss), is subject to the Programme’s Terms of Service and meets its eligibility criteria.</w:t>
      </w:r>
    </w:p>
    <w:p w14:paraId="60C508EF" w14:textId="77777777" w:rsidR="0083168D" w:rsidRPr="00061A5D" w:rsidRDefault="0083168D" w:rsidP="0083168D">
      <w:pPr>
        <w:pStyle w:val="COMINNOParagraph"/>
      </w:pPr>
      <w:r w:rsidRPr="00061A5D">
        <w:t>“</w:t>
      </w:r>
      <w:r w:rsidRPr="00061A5D">
        <w:rPr>
          <w:b/>
        </w:rPr>
        <w:t>Programme</w:t>
      </w:r>
      <w:r w:rsidRPr="00061A5D">
        <w:t>” refers to the NTN Microtech Booster open innovation programme in which the Members are Participants.</w:t>
      </w:r>
    </w:p>
    <w:p w14:paraId="4CB246DA" w14:textId="47DD4A32" w:rsidR="0083168D" w:rsidRPr="00061A5D" w:rsidRDefault="0083168D" w:rsidP="0083168D">
      <w:pPr>
        <w:pStyle w:val="COMINNOParagraph"/>
        <w:rPr>
          <w:i/>
        </w:rPr>
      </w:pPr>
      <w:r w:rsidRPr="00061A5D">
        <w:t>“</w:t>
      </w:r>
      <w:r w:rsidRPr="00061A5D">
        <w:rPr>
          <w:b/>
        </w:rPr>
        <w:t>Project Report</w:t>
      </w:r>
      <w:r w:rsidRPr="00061A5D">
        <w:t>” or “</w:t>
      </w:r>
      <w:r w:rsidRPr="00061A5D">
        <w:rPr>
          <w:b/>
        </w:rPr>
        <w:t>PR</w:t>
      </w:r>
      <w:r w:rsidRPr="00061A5D">
        <w:t xml:space="preserve">” refers to the document intended for open publication under the Terms of Service (Stage II.3: Launchpad), which outlines, from the idea to the conclusions of the Feasibility Study, the innovative course of the Project for other persons to understand it and learn from it; it </w:t>
      </w:r>
      <w:proofErr w:type="gramStart"/>
      <w:r w:rsidRPr="00061A5D">
        <w:t>provide</w:t>
      </w:r>
      <w:proofErr w:type="gramEnd"/>
      <w:r w:rsidRPr="00061A5D">
        <w:t xml:space="preserve"> relevant observations based on the Project process &amp; conclusions; e.g. challenges encountered, errors, breakthrough factors, etc. The Project Report is the main subject of the reporting obligations in the Programme and </w:t>
      </w:r>
      <w:r w:rsidR="00A2653C">
        <w:t>should</w:t>
      </w:r>
      <w:r w:rsidRPr="00061A5D">
        <w:t xml:space="preserve"> be fulfilled, on each Member’s behalf, through the Team’s collaborative work.</w:t>
      </w:r>
    </w:p>
    <w:p w14:paraId="6E545F59" w14:textId="3D2FA364" w:rsidR="0083168D" w:rsidRPr="00061A5D" w:rsidRDefault="0083168D" w:rsidP="0083168D">
      <w:pPr>
        <w:pStyle w:val="COMINNOParagraph"/>
        <w:rPr>
          <w:i/>
        </w:rPr>
      </w:pPr>
      <w:r w:rsidRPr="00061A5D">
        <w:t>“</w:t>
      </w:r>
      <w:r w:rsidRPr="00061A5D">
        <w:rPr>
          <w:b/>
        </w:rPr>
        <w:t>Project</w:t>
      </w:r>
      <w:r w:rsidRPr="00061A5D">
        <w:t>” consists</w:t>
      </w:r>
      <w:r w:rsidR="00A2653C">
        <w:t xml:space="preserve"> </w:t>
      </w:r>
      <w:r w:rsidRPr="00061A5D">
        <w:t>of striving</w:t>
      </w:r>
      <w:r w:rsidR="00A2653C">
        <w:t>, during the Feasibility Study,</w:t>
      </w:r>
      <w:r w:rsidRPr="00061A5D">
        <w:t xml:space="preserve"> to achieve a proof of concept to verify and demonstrate that </w:t>
      </w:r>
      <w:r w:rsidR="00A2653C">
        <w:t>(</w:t>
      </w:r>
      <w:r w:rsidRPr="00061A5D">
        <w:t>the idea underlying</w:t>
      </w:r>
      <w:r w:rsidR="00A2653C">
        <w:t>)</w:t>
      </w:r>
      <w:r w:rsidRPr="00061A5D">
        <w:t xml:space="preserve"> the Application has practical potential.</w:t>
      </w:r>
      <w:r w:rsidR="002C0F22" w:rsidRPr="00061A5D">
        <w:t xml:space="preserve"> The Project Report is deemed a part of the Project.</w:t>
      </w:r>
    </w:p>
    <w:p w14:paraId="35DAD5B7" w14:textId="251DFD3A" w:rsidR="0083168D" w:rsidRPr="00061A5D" w:rsidRDefault="0083168D" w:rsidP="0083168D">
      <w:pPr>
        <w:pStyle w:val="COMINNOParagraph"/>
        <w:rPr>
          <w:i/>
        </w:rPr>
      </w:pPr>
      <w:r w:rsidRPr="00061A5D">
        <w:t>“</w:t>
      </w:r>
      <w:r w:rsidRPr="00061A5D">
        <w:rPr>
          <w:b/>
        </w:rPr>
        <w:t>Project Team</w:t>
      </w:r>
      <w:r w:rsidRPr="00061A5D">
        <w:t xml:space="preserve">” see </w:t>
      </w:r>
      <w:r w:rsidR="007E50AF" w:rsidRPr="00061A5D">
        <w:t>§</w:t>
      </w:r>
      <w:r w:rsidRPr="00061A5D">
        <w:fldChar w:fldCharType="begin"/>
      </w:r>
      <w:r w:rsidRPr="00061A5D">
        <w:instrText xml:space="preserve"> REF _Ref77231822 \r \p \h </w:instrText>
      </w:r>
      <w:r w:rsidR="00061A5D" w:rsidRPr="00061A5D">
        <w:instrText xml:space="preserve"> \* MERGEFORMAT </w:instrText>
      </w:r>
      <w:r w:rsidRPr="00061A5D">
        <w:fldChar w:fldCharType="separate"/>
      </w:r>
      <w:r w:rsidR="00061A5D" w:rsidRPr="00061A5D">
        <w:t>4 above</w:t>
      </w:r>
      <w:r w:rsidRPr="00061A5D">
        <w:fldChar w:fldCharType="end"/>
      </w:r>
    </w:p>
    <w:p w14:paraId="2DB24E9F" w14:textId="755DF12A" w:rsidR="006725B9" w:rsidRDefault="006725B9" w:rsidP="00993D92">
      <w:pPr>
        <w:pStyle w:val="COMINNOParagraph"/>
      </w:pPr>
      <w:r w:rsidRPr="00061A5D">
        <w:t>“</w:t>
      </w:r>
      <w:r w:rsidRPr="00061A5D">
        <w:rPr>
          <w:b/>
        </w:rPr>
        <w:t>Project Manager</w:t>
      </w:r>
      <w:r w:rsidRPr="00061A5D">
        <w:t>”</w:t>
      </w:r>
      <w:r w:rsidR="00993D92" w:rsidRPr="00061A5D">
        <w:t xml:space="preserve"> refers to the Member responsible for the planning, the </w:t>
      </w:r>
      <w:proofErr w:type="gramStart"/>
      <w:r w:rsidR="00993D92" w:rsidRPr="00061A5D">
        <w:t>coordination</w:t>
      </w:r>
      <w:proofErr w:type="gramEnd"/>
      <w:r w:rsidR="00993D92" w:rsidRPr="00061A5D">
        <w:t xml:space="preserve"> and the execution of the Project in accordance with the SOW; the Project Manager i</w:t>
      </w:r>
      <w:r w:rsidR="00B1736D">
        <w:t>s appointed by the Team and is (part of) the Board.</w:t>
      </w:r>
    </w:p>
    <w:p w14:paraId="1585072A" w14:textId="2C79D648" w:rsidR="00016204" w:rsidRPr="00061A5D" w:rsidRDefault="00016204" w:rsidP="00993D92">
      <w:pPr>
        <w:pStyle w:val="COMINNOParagraph"/>
      </w:pPr>
      <w:commentRangeStart w:id="11"/>
      <w:r>
        <w:t>“</w:t>
      </w:r>
      <w:r w:rsidRPr="00016204">
        <w:rPr>
          <w:b/>
        </w:rPr>
        <w:t>Resource Pool</w:t>
      </w:r>
      <w:r>
        <w:t xml:space="preserve">” refers to the resources of particular importance or relevance to the Project, such as personnel or man-hours, </w:t>
      </w:r>
      <w:r w:rsidRPr="00FF4494">
        <w:t xml:space="preserve">proprietary Background IPR </w:t>
      </w:r>
      <w:r>
        <w:t xml:space="preserve">including Secrets, </w:t>
      </w:r>
      <w:r w:rsidRPr="00FF4494">
        <w:t xml:space="preserve">physical or </w:t>
      </w:r>
      <w:r w:rsidRPr="00FF4494">
        <w:lastRenderedPageBreak/>
        <w:t xml:space="preserve">digital infrastructures, </w:t>
      </w:r>
      <w:r>
        <w:t>etc., which the Members choose to make available to the Team under the SOW.</w:t>
      </w:r>
      <w:commentRangeEnd w:id="11"/>
      <w:r>
        <w:rPr>
          <w:rStyle w:val="Marquedecommentaire"/>
          <w:rFonts w:eastAsia="Noto Serif CJK SC" w:cs="Mangal"/>
          <w:lang w:eastAsia="zh-CN"/>
        </w:rPr>
        <w:commentReference w:id="11"/>
      </w:r>
      <w:r>
        <w:t xml:space="preserve"> </w:t>
      </w:r>
    </w:p>
    <w:p w14:paraId="21AF7E95" w14:textId="3822784D" w:rsidR="001127EE" w:rsidRPr="00061A5D" w:rsidRDefault="00B170C4" w:rsidP="00D12B6B">
      <w:pPr>
        <w:pStyle w:val="COMINNOParagraph"/>
      </w:pPr>
      <w:r w:rsidRPr="00061A5D">
        <w:t>“</w:t>
      </w:r>
      <w:r w:rsidRPr="00061A5D">
        <w:rPr>
          <w:b/>
        </w:rPr>
        <w:t>Statement of Work</w:t>
      </w:r>
      <w:r w:rsidRPr="00061A5D">
        <w:t>” or “</w:t>
      </w:r>
      <w:r w:rsidRPr="00061A5D">
        <w:rPr>
          <w:b/>
        </w:rPr>
        <w:t>SOW</w:t>
      </w:r>
      <w:r w:rsidRPr="00061A5D">
        <w:t>”</w:t>
      </w:r>
      <w:r w:rsidR="000931BA" w:rsidRPr="00061A5D">
        <w:t xml:space="preserve"> defines the</w:t>
      </w:r>
      <w:r w:rsidR="00331642" w:rsidRPr="00061A5D">
        <w:t xml:space="preserve"> </w:t>
      </w:r>
      <w:r w:rsidR="000931BA" w:rsidRPr="00061A5D">
        <w:t xml:space="preserve">document </w:t>
      </w:r>
      <w:r w:rsidR="00331642" w:rsidRPr="00061A5D">
        <w:t>mutually agreed</w:t>
      </w:r>
      <w:r w:rsidR="00EE3C73" w:rsidRPr="00061A5D">
        <w:t xml:space="preserve"> upon</w:t>
      </w:r>
      <w:r w:rsidR="00331642" w:rsidRPr="00061A5D">
        <w:t xml:space="preserve"> by the </w:t>
      </w:r>
      <w:r w:rsidR="004B0749" w:rsidRPr="00061A5D">
        <w:t>Member</w:t>
      </w:r>
      <w:r w:rsidR="00331642" w:rsidRPr="00061A5D">
        <w:t xml:space="preserve">s to </w:t>
      </w:r>
      <w:r w:rsidR="001127EE" w:rsidRPr="00061A5D">
        <w:t xml:space="preserve">establish the scope and the executive, technical framework of the Project as collaborative work by and between the </w:t>
      </w:r>
      <w:r w:rsidR="004B0749" w:rsidRPr="00061A5D">
        <w:t>Member</w:t>
      </w:r>
      <w:r w:rsidR="001127EE" w:rsidRPr="00061A5D">
        <w:t xml:space="preserve">s </w:t>
      </w:r>
      <w:r w:rsidR="00C650F0">
        <w:t>during</w:t>
      </w:r>
      <w:r w:rsidR="001127EE" w:rsidRPr="00061A5D">
        <w:t xml:space="preserve"> the Feasibility Study; it sets</w:t>
      </w:r>
      <w:r w:rsidR="00F37B6D" w:rsidRPr="00061A5D">
        <w:t xml:space="preserve"> out</w:t>
      </w:r>
      <w:r w:rsidR="001127EE" w:rsidRPr="00061A5D">
        <w:t xml:space="preserve"> </w:t>
      </w:r>
      <w:r w:rsidR="001127EE" w:rsidRPr="00061A5D">
        <w:rPr>
          <w:i/>
        </w:rPr>
        <w:t>inter alia</w:t>
      </w:r>
      <w:r w:rsidR="009B4107" w:rsidRPr="00061A5D">
        <w:rPr>
          <w:i/>
        </w:rPr>
        <w:t>s</w:t>
      </w:r>
      <w:r w:rsidR="001127EE" w:rsidRPr="00061A5D">
        <w:t>:</w:t>
      </w:r>
    </w:p>
    <w:p w14:paraId="0346425F" w14:textId="11D6AD59" w:rsidR="00016204" w:rsidRPr="001048F1" w:rsidRDefault="00016204" w:rsidP="00016204">
      <w:pPr>
        <w:pStyle w:val="COMINNOList-a"/>
        <w:numPr>
          <w:ilvl w:val="0"/>
          <w:numId w:val="48"/>
        </w:numPr>
      </w:pPr>
      <w:r w:rsidRPr="001048F1">
        <w:t>the Project’s objectives and deliverables (</w:t>
      </w:r>
      <w:r w:rsidRPr="00016204">
        <w:t>SOW targets</w:t>
      </w:r>
      <w:proofErr w:type="gramStart"/>
      <w:r w:rsidRPr="001048F1">
        <w:t>);</w:t>
      </w:r>
      <w:proofErr w:type="gramEnd"/>
    </w:p>
    <w:p w14:paraId="396CE1E5" w14:textId="77777777" w:rsidR="00016204" w:rsidRPr="001048F1" w:rsidRDefault="00016204" w:rsidP="00016204">
      <w:pPr>
        <w:pStyle w:val="COMINNOList-a"/>
      </w:pPr>
      <w:r w:rsidRPr="001048F1">
        <w:t xml:space="preserve">processes, methods and/or notable tasks intended to achieve the SOW </w:t>
      </w:r>
      <w:proofErr w:type="gramStart"/>
      <w:r w:rsidRPr="001048F1">
        <w:t>targets;</w:t>
      </w:r>
      <w:proofErr w:type="gramEnd"/>
    </w:p>
    <w:p w14:paraId="2122EE8E" w14:textId="6949D3CE" w:rsidR="00016204" w:rsidRPr="001048F1" w:rsidRDefault="00016204" w:rsidP="00016204">
      <w:pPr>
        <w:pStyle w:val="COMINNOList-a"/>
      </w:pPr>
      <w:bookmarkStart w:id="12" w:name="_Ref78067121"/>
      <w:r w:rsidRPr="001048F1">
        <w:t>mandatory or supplementary resources made available by each and every Member</w:t>
      </w:r>
      <w:r>
        <w:t xml:space="preserve"> (</w:t>
      </w:r>
      <w:r w:rsidRPr="00016204">
        <w:t>Resource Pool</w:t>
      </w:r>
      <w:proofErr w:type="gramStart"/>
      <w:r w:rsidRPr="001048F1">
        <w:t>);</w:t>
      </w:r>
      <w:bookmarkEnd w:id="12"/>
      <w:proofErr w:type="gramEnd"/>
    </w:p>
    <w:p w14:paraId="54267854" w14:textId="77777777" w:rsidR="00016204" w:rsidRPr="001048F1" w:rsidRDefault="00016204" w:rsidP="00016204">
      <w:pPr>
        <w:pStyle w:val="COMINNOList-a"/>
      </w:pPr>
      <w:r w:rsidRPr="001048F1">
        <w:t xml:space="preserve">schedule, milestones and budgetary </w:t>
      </w:r>
      <w:proofErr w:type="gramStart"/>
      <w:r w:rsidRPr="001048F1">
        <w:t>planning;</w:t>
      </w:r>
      <w:proofErr w:type="gramEnd"/>
    </w:p>
    <w:p w14:paraId="62E317F0" w14:textId="77777777" w:rsidR="00016204" w:rsidRPr="001048F1" w:rsidRDefault="00016204" w:rsidP="00016204">
      <w:pPr>
        <w:pStyle w:val="COMINNOList-a"/>
      </w:pPr>
      <w:r w:rsidRPr="001048F1">
        <w:t>relevant specifications or requirements, if any.</w:t>
      </w:r>
    </w:p>
    <w:p w14:paraId="10F942B2" w14:textId="3D1A41D5" w:rsidR="00A05208" w:rsidRPr="00061A5D" w:rsidRDefault="00016204" w:rsidP="00016204">
      <w:pPr>
        <w:pStyle w:val="COMINNOParagraph"/>
        <w:numPr>
          <w:ilvl w:val="0"/>
          <w:numId w:val="49"/>
        </w:numPr>
      </w:pPr>
      <w:r w:rsidRPr="00061A5D">
        <w:t xml:space="preserve"> </w:t>
      </w:r>
      <w:r w:rsidR="007E50AF" w:rsidRPr="00061A5D">
        <w:t>“</w:t>
      </w:r>
      <w:r w:rsidR="007E50AF" w:rsidRPr="00061A5D">
        <w:rPr>
          <w:b/>
        </w:rPr>
        <w:t>Secret</w:t>
      </w:r>
      <w:r w:rsidR="007E50AF" w:rsidRPr="00061A5D">
        <w:t xml:space="preserve">” </w:t>
      </w:r>
      <w:r w:rsidR="0006673C" w:rsidRPr="00061A5D">
        <w:t xml:space="preserve">refers to any Contribution Data or </w:t>
      </w:r>
      <w:r w:rsidR="00427F3C" w:rsidRPr="00061A5D">
        <w:t xml:space="preserve">any </w:t>
      </w:r>
      <w:r w:rsidR="0006673C" w:rsidRPr="00061A5D">
        <w:t xml:space="preserve">set of Contribution Data which is protected or protectable in any form as a secret by law, such as manufacturing, business or trade </w:t>
      </w:r>
      <w:proofErr w:type="gramStart"/>
      <w:r w:rsidR="0006673C" w:rsidRPr="00061A5D">
        <w:t>secrets</w:t>
      </w:r>
      <w:r w:rsidR="00FD6CB0" w:rsidRPr="00061A5D">
        <w:t>;</w:t>
      </w:r>
      <w:proofErr w:type="gramEnd"/>
      <w:r w:rsidR="00FD6CB0" w:rsidRPr="00061A5D">
        <w:t xml:space="preserve"> e.g. unregistered patent material or exclusive</w:t>
      </w:r>
      <w:r w:rsidR="00543EF3" w:rsidRPr="00061A5D">
        <w:t>/privileged</w:t>
      </w:r>
      <w:r w:rsidR="00FD6CB0" w:rsidRPr="00061A5D">
        <w:t xml:space="preserve"> know-how</w:t>
      </w:r>
      <w:r w:rsidR="0006673C" w:rsidRPr="00061A5D">
        <w:t>. Secrets are deemed both IPR and Confidential Information</w:t>
      </w:r>
      <w:r w:rsidR="00FD6CB0" w:rsidRPr="00061A5D">
        <w:t>,</w:t>
      </w:r>
      <w:r w:rsidR="00A05208" w:rsidRPr="00061A5D">
        <w:t xml:space="preserve"> </w:t>
      </w:r>
      <w:r w:rsidR="00FD6CB0" w:rsidRPr="00061A5D">
        <w:t>thus</w:t>
      </w:r>
      <w:r w:rsidR="00A05208" w:rsidRPr="00061A5D">
        <w:t>:</w:t>
      </w:r>
      <w:r w:rsidR="0006673C" w:rsidRPr="00061A5D">
        <w:t xml:space="preserve"> </w:t>
      </w:r>
    </w:p>
    <w:p w14:paraId="1813308A" w14:textId="1469DE57" w:rsidR="00707B5E" w:rsidRPr="00061A5D" w:rsidRDefault="00427F3C" w:rsidP="00A05208">
      <w:pPr>
        <w:pStyle w:val="COMINNOList-a"/>
        <w:numPr>
          <w:ilvl w:val="0"/>
          <w:numId w:val="50"/>
        </w:numPr>
      </w:pPr>
      <w:r w:rsidRPr="00061A5D">
        <w:t>the</w:t>
      </w:r>
      <w:r w:rsidR="00707B5E" w:rsidRPr="00061A5D">
        <w:t xml:space="preserve"> Derivative work </w:t>
      </w:r>
      <w:r w:rsidRPr="00061A5D">
        <w:t>of</w:t>
      </w:r>
      <w:r w:rsidR="00707B5E" w:rsidRPr="00061A5D">
        <w:t xml:space="preserve"> a Secret is also deemed a Secret</w:t>
      </w:r>
      <w:r w:rsidR="00543EF3" w:rsidRPr="00061A5D">
        <w:t xml:space="preserve"> (cf. §</w:t>
      </w:r>
      <w:r w:rsidRPr="00061A5D">
        <w:fldChar w:fldCharType="begin"/>
      </w:r>
      <w:r w:rsidRPr="00061A5D">
        <w:instrText xml:space="preserve"> REF _Ref78037268 \w \h  \* MERGEFORMAT </w:instrText>
      </w:r>
      <w:r w:rsidRPr="00061A5D">
        <w:fldChar w:fldCharType="separate"/>
      </w:r>
      <w:r w:rsidR="00061A5D" w:rsidRPr="00061A5D">
        <w:t>11</w:t>
      </w:r>
      <w:r w:rsidRPr="00061A5D">
        <w:fldChar w:fldCharType="end"/>
      </w:r>
      <w:r w:rsidR="00543EF3" w:rsidRPr="00061A5D">
        <w:t>)</w:t>
      </w:r>
      <w:r w:rsidR="00707B5E" w:rsidRPr="00061A5D">
        <w:t>.</w:t>
      </w:r>
    </w:p>
    <w:p w14:paraId="66B5F844" w14:textId="31A72218" w:rsidR="00A05208" w:rsidRPr="00061A5D" w:rsidRDefault="00427F3C" w:rsidP="00A05208">
      <w:pPr>
        <w:pStyle w:val="COMINNOList-a"/>
      </w:pPr>
      <w:r w:rsidRPr="00061A5D">
        <w:t xml:space="preserve">A </w:t>
      </w:r>
      <w:r w:rsidR="00FD6CB0" w:rsidRPr="00061A5D">
        <w:t xml:space="preserve">Secret </w:t>
      </w:r>
      <w:r w:rsidRPr="00061A5D">
        <w:t xml:space="preserve">is </w:t>
      </w:r>
      <w:r w:rsidR="00FD6CB0" w:rsidRPr="00061A5D">
        <w:t>also subject to labelling</w:t>
      </w:r>
      <w:r w:rsidR="001747D8" w:rsidRPr="00061A5D">
        <w:t xml:space="preserve"> </w:t>
      </w:r>
      <w:r w:rsidRPr="00061A5D">
        <w:t>as</w:t>
      </w:r>
      <w:r w:rsidR="001747D8" w:rsidRPr="00061A5D">
        <w:t xml:space="preserve"> Confidential Information</w:t>
      </w:r>
      <w:r w:rsidRPr="00061A5D">
        <w:t xml:space="preserve"> (</w:t>
      </w:r>
      <w:r w:rsidR="00C650F0">
        <w:t>cf. §</w:t>
      </w:r>
      <w:r w:rsidR="00C650F0">
        <w:fldChar w:fldCharType="begin"/>
      </w:r>
      <w:r w:rsidR="00C650F0">
        <w:instrText xml:space="preserve"> REF _Ref78074337 \r \h </w:instrText>
      </w:r>
      <w:r w:rsidR="00C650F0">
        <w:fldChar w:fldCharType="separate"/>
      </w:r>
      <w:r w:rsidR="00C650F0">
        <w:t>7</w:t>
      </w:r>
      <w:r w:rsidR="00C650F0">
        <w:fldChar w:fldCharType="end"/>
      </w:r>
      <w:r w:rsidR="00C650F0">
        <w:t xml:space="preserve"> &amp; </w:t>
      </w:r>
      <w:r w:rsidRPr="00061A5D">
        <w:t>section 5</w:t>
      </w:r>
      <w:r w:rsidR="00C650F0" w:rsidRPr="00C650F0">
        <w:t xml:space="preserve"> </w:t>
      </w:r>
      <w:r w:rsidR="00C650F0">
        <w:t>TKTA</w:t>
      </w:r>
      <w:r w:rsidR="001747D8" w:rsidRPr="00061A5D">
        <w:t>).</w:t>
      </w:r>
    </w:p>
    <w:p w14:paraId="26557D50" w14:textId="4EE7058E" w:rsidR="00D12B6B" w:rsidRPr="00061A5D" w:rsidRDefault="0037236C" w:rsidP="00D12B6B">
      <w:pPr>
        <w:pStyle w:val="COMINNOParagraph"/>
      </w:pPr>
      <w:r w:rsidRPr="00061A5D">
        <w:t>“</w:t>
      </w:r>
      <w:r w:rsidRPr="00061A5D">
        <w:rPr>
          <w:b/>
        </w:rPr>
        <w:t>Seed Money</w:t>
      </w:r>
      <w:r w:rsidRPr="00061A5D">
        <w:t xml:space="preserve">” </w:t>
      </w:r>
      <w:r w:rsidR="000607AD" w:rsidRPr="00061A5D">
        <w:t xml:space="preserve">refers to </w:t>
      </w:r>
      <w:r w:rsidRPr="00061A5D">
        <w:t xml:space="preserve">the financial contribution made </w:t>
      </w:r>
      <w:r w:rsidR="000607AD" w:rsidRPr="00061A5D">
        <w:t xml:space="preserve">available </w:t>
      </w:r>
      <w:r w:rsidRPr="00061A5D">
        <w:t xml:space="preserve">by the </w:t>
      </w:r>
      <w:r w:rsidR="00D12B6B" w:rsidRPr="00061A5D">
        <w:t>Operator</w:t>
      </w:r>
      <w:r w:rsidRPr="00061A5D">
        <w:t xml:space="preserve"> to </w:t>
      </w:r>
      <w:r w:rsidR="00FD6E29" w:rsidRPr="00061A5D">
        <w:t xml:space="preserve">the </w:t>
      </w:r>
      <w:r w:rsidR="00426744" w:rsidRPr="00061A5D">
        <w:t>Team</w:t>
      </w:r>
      <w:r w:rsidR="00FD6E29" w:rsidRPr="00061A5D">
        <w:t xml:space="preserve"> within the scope</w:t>
      </w:r>
      <w:r w:rsidRPr="00061A5D">
        <w:t xml:space="preserve"> of the Program</w:t>
      </w:r>
      <w:r w:rsidR="00D12B6B" w:rsidRPr="00061A5D">
        <w:t>me</w:t>
      </w:r>
      <w:r w:rsidRPr="00061A5D">
        <w:t xml:space="preserve"> according to the Terms of Service</w:t>
      </w:r>
      <w:r w:rsidR="00AD0755" w:rsidRPr="00061A5D">
        <w:t>; it aims at supporting the Project</w:t>
      </w:r>
      <w:r w:rsidRPr="00061A5D">
        <w:t xml:space="preserve">. </w:t>
      </w:r>
      <w:r w:rsidR="00AD0755" w:rsidRPr="00061A5D">
        <w:t xml:space="preserve">Such </w:t>
      </w:r>
      <w:r w:rsidRPr="00061A5D">
        <w:t xml:space="preserve">contribution </w:t>
      </w:r>
      <w:r w:rsidR="000607AD" w:rsidRPr="00061A5D">
        <w:t xml:space="preserve">amounts </w:t>
      </w:r>
      <w:r w:rsidRPr="00061A5D">
        <w:t xml:space="preserve">to the total </w:t>
      </w:r>
      <w:r w:rsidR="000607AD" w:rsidRPr="00061A5D">
        <w:t>of the collected p</w:t>
      </w:r>
      <w:r w:rsidRPr="00061A5D">
        <w:t>ledges</w:t>
      </w:r>
      <w:r w:rsidR="000607AD" w:rsidRPr="00061A5D">
        <w:t xml:space="preserve"> </w:t>
      </w:r>
      <w:r w:rsidRPr="00061A5D">
        <w:t xml:space="preserve">plus a fixed lump sum of CHF 20,000. It is made available </w:t>
      </w:r>
      <w:r w:rsidR="00D12B6B" w:rsidRPr="00061A5D">
        <w:t xml:space="preserve">until dissolution </w:t>
      </w:r>
      <w:r w:rsidR="00426744" w:rsidRPr="00061A5D">
        <w:t xml:space="preserve">or termination of </w:t>
      </w:r>
      <w:r w:rsidRPr="00061A5D">
        <w:t xml:space="preserve">the </w:t>
      </w:r>
      <w:r w:rsidR="00426744" w:rsidRPr="00061A5D">
        <w:t xml:space="preserve">Team </w:t>
      </w:r>
      <w:r w:rsidRPr="00061A5D">
        <w:t xml:space="preserve">through its </w:t>
      </w:r>
      <w:r w:rsidR="008A6B74" w:rsidRPr="00061A5D">
        <w:t>Financial Clerk</w:t>
      </w:r>
      <w:r w:rsidR="00AD0755" w:rsidRPr="00061A5D">
        <w:t>.</w:t>
      </w:r>
      <w:r w:rsidR="00DF23D1" w:rsidRPr="00061A5D">
        <w:t xml:space="preserve"> Any unused amount stays by or is refunded to the Operator.</w:t>
      </w:r>
    </w:p>
    <w:p w14:paraId="6798DB4D" w14:textId="5AA1F5C0" w:rsidR="00792AAE" w:rsidRPr="00353CD6" w:rsidRDefault="00792AAE" w:rsidP="00166D87">
      <w:pPr>
        <w:pStyle w:val="COMINNOParagraph"/>
        <w:autoSpaceDN/>
        <w:textAlignment w:val="auto"/>
      </w:pPr>
      <w:r w:rsidRPr="00353CD6">
        <w:t>“</w:t>
      </w:r>
      <w:r w:rsidRPr="00353CD6">
        <w:rPr>
          <w:b/>
        </w:rPr>
        <w:t>Steering Committee</w:t>
      </w:r>
      <w:r w:rsidRPr="00353CD6">
        <w:t xml:space="preserve">” </w:t>
      </w:r>
      <w:r w:rsidR="001048FE" w:rsidRPr="00353CD6">
        <w:t xml:space="preserve">refers as </w:t>
      </w:r>
      <w:r w:rsidR="00924E10" w:rsidRPr="00353CD6">
        <w:t xml:space="preserve">the strategic simple partnership </w:t>
      </w:r>
      <w:r w:rsidR="001048FE" w:rsidRPr="00353CD6">
        <w:t xml:space="preserve">united for the purpose of bringing success to the NTN Innovation Booster and to promote, diversify and empower </w:t>
      </w:r>
      <w:proofErr w:type="spellStart"/>
      <w:r w:rsidR="001048FE" w:rsidRPr="00353CD6">
        <w:t>microtech</w:t>
      </w:r>
      <w:proofErr w:type="spellEnd"/>
      <w:r w:rsidR="001048FE" w:rsidRPr="00353CD6">
        <w:t xml:space="preserve"> </w:t>
      </w:r>
      <w:proofErr w:type="gramStart"/>
      <w:r w:rsidR="001048FE" w:rsidRPr="00353CD6">
        <w:t>ecosystems;</w:t>
      </w:r>
      <w:proofErr w:type="gramEnd"/>
      <w:r w:rsidR="001048FE" w:rsidRPr="00353CD6">
        <w:t xml:space="preserve"> its acts as the supreme governance instance in the Programme. It is </w:t>
      </w:r>
      <w:r w:rsidRPr="00353CD6">
        <w:t xml:space="preserve">composed of </w:t>
      </w:r>
      <w:r w:rsidR="00166D87" w:rsidRPr="00353CD6">
        <w:t xml:space="preserve">Association de Recherche Communautaire des </w:t>
      </w:r>
      <w:proofErr w:type="spellStart"/>
      <w:r w:rsidR="00166D87" w:rsidRPr="00353CD6">
        <w:t>moyens</w:t>
      </w:r>
      <w:proofErr w:type="spellEnd"/>
      <w:r w:rsidR="00166D87" w:rsidRPr="00353CD6">
        <w:t xml:space="preserve"> de production </w:t>
      </w:r>
      <w:proofErr w:type="spellStart"/>
      <w:r w:rsidR="00166D87" w:rsidRPr="00353CD6">
        <w:t>Microtechniques</w:t>
      </w:r>
      <w:proofErr w:type="spellEnd"/>
      <w:r w:rsidR="00166D87" w:rsidRPr="00353CD6">
        <w:t xml:space="preserve"> (</w:t>
      </w:r>
      <w:r w:rsidRPr="00353CD6">
        <w:t>ARCM</w:t>
      </w:r>
      <w:r w:rsidR="00E92600" w:rsidRPr="00353CD6">
        <w:t>)</w:t>
      </w:r>
      <w:r w:rsidRPr="00353CD6">
        <w:t>, Microcity</w:t>
      </w:r>
      <w:r w:rsidR="00166D87" w:rsidRPr="00353CD6">
        <w:t xml:space="preserve"> SA</w:t>
      </w:r>
      <w:r w:rsidRPr="00353CD6">
        <w:t>,</w:t>
      </w:r>
      <w:r w:rsidR="00166D87" w:rsidRPr="00353CD6">
        <w:t xml:space="preserve"> </w:t>
      </w:r>
      <w:proofErr w:type="spellStart"/>
      <w:r w:rsidR="00166D87" w:rsidRPr="00353CD6">
        <w:t>L’Incubateur</w:t>
      </w:r>
      <w:proofErr w:type="spellEnd"/>
      <w:r w:rsidRPr="00353CD6">
        <w:t xml:space="preserve"> </w:t>
      </w:r>
      <w:proofErr w:type="spellStart"/>
      <w:r w:rsidRPr="00353CD6">
        <w:t>i-moutier</w:t>
      </w:r>
      <w:proofErr w:type="spellEnd"/>
      <w:r w:rsidRPr="00353CD6">
        <w:t xml:space="preserve">, </w:t>
      </w:r>
      <w:proofErr w:type="spellStart"/>
      <w:r w:rsidRPr="00353CD6">
        <w:t>Associazione</w:t>
      </w:r>
      <w:proofErr w:type="spellEnd"/>
      <w:r w:rsidRPr="00353CD6">
        <w:t xml:space="preserve"> </w:t>
      </w:r>
      <w:proofErr w:type="spellStart"/>
      <w:r w:rsidRPr="00353CD6">
        <w:t>industrie</w:t>
      </w:r>
      <w:proofErr w:type="spellEnd"/>
      <w:r w:rsidRPr="00353CD6">
        <w:t xml:space="preserve"> </w:t>
      </w:r>
      <w:proofErr w:type="spellStart"/>
      <w:r w:rsidRPr="00353CD6">
        <w:t>ticinesi</w:t>
      </w:r>
      <w:proofErr w:type="spellEnd"/>
      <w:r w:rsidRPr="00353CD6">
        <w:t xml:space="preserve"> (AITI), </w:t>
      </w:r>
      <w:r w:rsidR="00353CD6">
        <w:t>I</w:t>
      </w:r>
      <w:r w:rsidR="00353CD6">
        <w:t xml:space="preserve">nnovation </w:t>
      </w:r>
      <w:proofErr w:type="spellStart"/>
      <w:r w:rsidR="00353CD6">
        <w:t>N</w:t>
      </w:r>
      <w:r w:rsidR="00353CD6">
        <w:t>etzwerk</w:t>
      </w:r>
      <w:proofErr w:type="spellEnd"/>
      <w:r w:rsidR="00353CD6">
        <w:t xml:space="preserve"> </w:t>
      </w:r>
      <w:proofErr w:type="spellStart"/>
      <w:r w:rsidR="00353CD6">
        <w:t>O</w:t>
      </w:r>
      <w:r w:rsidR="00353CD6">
        <w:t>stschweiz</w:t>
      </w:r>
      <w:proofErr w:type="spellEnd"/>
      <w:r w:rsidR="00353CD6">
        <w:t xml:space="preserve"> (</w:t>
      </w:r>
      <w:proofErr w:type="spellStart"/>
      <w:r w:rsidR="00353CD6">
        <w:t>inos</w:t>
      </w:r>
      <w:proofErr w:type="spellEnd"/>
      <w:r w:rsidR="00353CD6">
        <w:t>)</w:t>
      </w:r>
      <w:r w:rsidRPr="00353CD6">
        <w:t xml:space="preserve"> and Switzerland Innov</w:t>
      </w:r>
      <w:r w:rsidR="00E92600" w:rsidRPr="00353CD6">
        <w:t>ation West Switzerland.</w:t>
      </w:r>
    </w:p>
    <w:p w14:paraId="743D381C" w14:textId="36F9D39A" w:rsidR="000015D6" w:rsidRPr="00061A5D" w:rsidRDefault="00426744" w:rsidP="000015D6">
      <w:pPr>
        <w:pStyle w:val="COMINNOParagraph"/>
        <w:autoSpaceDN/>
        <w:textAlignment w:val="auto"/>
      </w:pPr>
      <w:bookmarkStart w:id="13" w:name="_Ref78072376"/>
      <w:r w:rsidRPr="00061A5D">
        <w:t>“</w:t>
      </w:r>
      <w:r w:rsidRPr="00061A5D">
        <w:rPr>
          <w:b/>
        </w:rPr>
        <w:t>Team</w:t>
      </w:r>
      <w:r w:rsidRPr="00061A5D">
        <w:t xml:space="preserve">” </w:t>
      </w:r>
      <w:r w:rsidR="000015D6">
        <w:t xml:space="preserve">or </w:t>
      </w:r>
      <w:r w:rsidR="000015D6" w:rsidRPr="00061A5D">
        <w:t>“</w:t>
      </w:r>
      <w:r w:rsidR="000015D6">
        <w:rPr>
          <w:b/>
        </w:rPr>
        <w:t>Association</w:t>
      </w:r>
      <w:r w:rsidR="000015D6" w:rsidRPr="00061A5D">
        <w:t>” refers to the group of eligible Participants (</w:t>
      </w:r>
      <w:proofErr w:type="gramStart"/>
      <w:r w:rsidR="000015D6" w:rsidRPr="00061A5D">
        <w:t>i.e.</w:t>
      </w:r>
      <w:proofErr w:type="gramEnd"/>
      <w:r w:rsidR="000015D6" w:rsidRPr="00061A5D">
        <w:t xml:space="preserve"> Members)</w:t>
      </w:r>
      <w:r w:rsidR="000015D6">
        <w:t>, organised as an association, a simple partnership</w:t>
      </w:r>
      <w:r w:rsidR="000015D6" w:rsidRPr="00061A5D">
        <w:t xml:space="preserve"> </w:t>
      </w:r>
      <w:r w:rsidR="000015D6">
        <w:t xml:space="preserve">or under any other terms under a Team Project Contract in order to </w:t>
      </w:r>
      <w:r w:rsidR="000015D6" w:rsidRPr="00061A5D">
        <w:t>work together</w:t>
      </w:r>
      <w:r w:rsidR="000015D6">
        <w:t xml:space="preserve"> on the Project for the duration, at minimum, of </w:t>
      </w:r>
      <w:r w:rsidR="000015D6" w:rsidRPr="00061A5D">
        <w:t>the Feasibility Study.</w:t>
      </w:r>
      <w:bookmarkEnd w:id="13"/>
    </w:p>
    <w:p w14:paraId="649F9F45" w14:textId="7AE916E0" w:rsidR="00AD0E30" w:rsidRPr="00061A5D" w:rsidRDefault="00987E51" w:rsidP="00426744">
      <w:pPr>
        <w:pStyle w:val="COMINNOParagraph"/>
        <w:autoSpaceDN/>
        <w:textAlignment w:val="auto"/>
      </w:pPr>
      <w:r w:rsidRPr="00061A5D">
        <w:t>“</w:t>
      </w:r>
      <w:r w:rsidR="004F19A4" w:rsidRPr="00061A5D">
        <w:rPr>
          <w:b/>
        </w:rPr>
        <w:t>Team Project Contract</w:t>
      </w:r>
      <w:r w:rsidRPr="00061A5D">
        <w:t>”</w:t>
      </w:r>
      <w:r w:rsidR="00426744" w:rsidRPr="00061A5D">
        <w:t xml:space="preserve"> or “</w:t>
      </w:r>
      <w:r w:rsidR="00426744" w:rsidRPr="00061A5D">
        <w:rPr>
          <w:b/>
        </w:rPr>
        <w:t>TPC</w:t>
      </w:r>
      <w:r w:rsidR="00426744" w:rsidRPr="00061A5D">
        <w:t>”</w:t>
      </w:r>
      <w:r w:rsidRPr="00061A5D">
        <w:t xml:space="preserve"> </w:t>
      </w:r>
      <w:r w:rsidR="00BF6A42" w:rsidRPr="00061A5D">
        <w:t xml:space="preserve">generically </w:t>
      </w:r>
      <w:r w:rsidRPr="00061A5D">
        <w:t>refers to either</w:t>
      </w:r>
      <w:r w:rsidR="00426744" w:rsidRPr="00061A5D">
        <w:t xml:space="preserve"> the</w:t>
      </w:r>
      <w:r w:rsidRPr="00061A5D">
        <w:t xml:space="preserve"> </w:t>
      </w:r>
      <w:r w:rsidR="00426744" w:rsidRPr="00061A5D">
        <w:t xml:space="preserve">bilateral agreement (in case of a Collaboration Agreement), the simple or general partnership (in case of a Consortium Agreement), the association as legal framework (in case of Statutes of Association) or any other framework agreement or structure that </w:t>
      </w:r>
      <w:r w:rsidR="00BF6A42" w:rsidRPr="00061A5D">
        <w:t xml:space="preserve">overall </w:t>
      </w:r>
      <w:r w:rsidR="00426744" w:rsidRPr="00061A5D">
        <w:t xml:space="preserve">governs the Team and </w:t>
      </w:r>
      <w:r w:rsidR="00AD0E30" w:rsidRPr="00061A5D">
        <w:t>each</w:t>
      </w:r>
      <w:r w:rsidR="00426744" w:rsidRPr="00061A5D">
        <w:t xml:space="preserve"> Member’s </w:t>
      </w:r>
      <w:r w:rsidR="00AD0E30" w:rsidRPr="00061A5D">
        <w:t>rights and obligations</w:t>
      </w:r>
      <w:r w:rsidR="00426744" w:rsidRPr="00061A5D">
        <w:t xml:space="preserve"> in the Feasibility Study.</w:t>
      </w:r>
      <w:r w:rsidR="00AD0E30" w:rsidRPr="00061A5D">
        <w:t xml:space="preserve"> </w:t>
      </w:r>
    </w:p>
    <w:p w14:paraId="57FCE317" w14:textId="75EE0765" w:rsidR="001A31EE" w:rsidRPr="00061A5D" w:rsidRDefault="00CF69C0" w:rsidP="001A31EE">
      <w:pPr>
        <w:pStyle w:val="COMINNOParagraph"/>
        <w:autoSpaceDN/>
        <w:textAlignment w:val="auto"/>
      </w:pPr>
      <w:r w:rsidRPr="00061A5D">
        <w:t>“</w:t>
      </w:r>
      <w:r w:rsidRPr="00061A5D">
        <w:rPr>
          <w:b/>
        </w:rPr>
        <w:t>Technical Clerk</w:t>
      </w:r>
      <w:r w:rsidRPr="00061A5D">
        <w:t xml:space="preserve">” refers to the Member </w:t>
      </w:r>
      <w:r w:rsidR="00241A0D" w:rsidRPr="00061A5D">
        <w:t>responsible for the documenting and</w:t>
      </w:r>
      <w:r w:rsidRPr="00061A5D">
        <w:t xml:space="preserve"> reporting </w:t>
      </w:r>
      <w:r w:rsidR="00241A0D" w:rsidRPr="00061A5D">
        <w:t xml:space="preserve">of technical </w:t>
      </w:r>
      <w:r w:rsidRPr="00061A5D">
        <w:t xml:space="preserve">activities of the Team within the Feasibility Study; the Technical Clerk is appointed by the </w:t>
      </w:r>
      <w:r w:rsidRPr="00061A5D">
        <w:lastRenderedPageBreak/>
        <w:t xml:space="preserve">Team and charged </w:t>
      </w:r>
      <w:r w:rsidRPr="00061A5D">
        <w:rPr>
          <w:i/>
        </w:rPr>
        <w:t>inter alia</w:t>
      </w:r>
      <w:r w:rsidRPr="00061A5D">
        <w:t xml:space="preserve"> of</w:t>
      </w:r>
      <w:r w:rsidR="006650F2">
        <w:t xml:space="preserve"> managing Contribution Data, </w:t>
      </w:r>
      <w:r w:rsidRPr="00061A5D">
        <w:t>maintaining the Data Ro</w:t>
      </w:r>
      <w:r w:rsidR="006650F2">
        <w:t>om in good order and up-to-date and ensuring the completion of the Project Report.</w:t>
      </w:r>
    </w:p>
    <w:p w14:paraId="6C94AD07" w14:textId="6A9A1F41" w:rsidR="00AB02C0" w:rsidRPr="00061A5D" w:rsidRDefault="00AB02C0" w:rsidP="001A31EE">
      <w:pPr>
        <w:pStyle w:val="COMINNOParagraph"/>
        <w:autoSpaceDN/>
        <w:textAlignment w:val="auto"/>
      </w:pPr>
      <w:r w:rsidRPr="00061A5D">
        <w:t>“</w:t>
      </w:r>
      <w:r w:rsidRPr="00061A5D">
        <w:rPr>
          <w:b/>
        </w:rPr>
        <w:t>Terms of Service</w:t>
      </w:r>
      <w:r w:rsidRPr="00061A5D">
        <w:t>” or “</w:t>
      </w:r>
      <w:proofErr w:type="spellStart"/>
      <w:r w:rsidRPr="00061A5D">
        <w:rPr>
          <w:b/>
        </w:rPr>
        <w:t>ToS</w:t>
      </w:r>
      <w:proofErr w:type="spellEnd"/>
      <w:r w:rsidRPr="00061A5D">
        <w:t xml:space="preserve">” refers to the rules governing the Programme: </w:t>
      </w:r>
      <w:hyperlink r:id="rId11" w:history="1">
        <w:r w:rsidRPr="00061A5D">
          <w:rPr>
            <w:rStyle w:val="Lienhypertexte"/>
            <w:color w:val="auto"/>
          </w:rPr>
          <w:t>https://microtechbooster.swiss/legal</w:t>
        </w:r>
      </w:hyperlink>
      <w:r w:rsidRPr="00061A5D">
        <w:t xml:space="preserve"> </w:t>
      </w:r>
    </w:p>
    <w:p w14:paraId="7D32FB3B" w14:textId="77777777" w:rsidR="00BC436E" w:rsidRDefault="001A31EE" w:rsidP="001A31EE">
      <w:pPr>
        <w:pStyle w:val="COMINNOParagraph"/>
        <w:autoSpaceDN/>
        <w:textAlignment w:val="auto"/>
      </w:pPr>
      <w:bookmarkStart w:id="14" w:name="_Ref78074070"/>
      <w:r w:rsidRPr="00061A5D">
        <w:t>“</w:t>
      </w:r>
      <w:r w:rsidRPr="00061A5D">
        <w:rPr>
          <w:b/>
        </w:rPr>
        <w:t>TPC Rules</w:t>
      </w:r>
      <w:r w:rsidRPr="00061A5D">
        <w:t>” means</w:t>
      </w:r>
      <w:r w:rsidR="00DD10DA" w:rsidRPr="00061A5D">
        <w:t xml:space="preserve"> </w:t>
      </w:r>
      <w:proofErr w:type="gramStart"/>
      <w:r w:rsidR="00DD10DA" w:rsidRPr="00061A5D">
        <w:t>any and</w:t>
      </w:r>
      <w:r w:rsidRPr="00061A5D">
        <w:t xml:space="preserve"> all</w:t>
      </w:r>
      <w:proofErr w:type="gramEnd"/>
      <w:r w:rsidRPr="00061A5D">
        <w:t xml:space="preserve"> associative and/or </w:t>
      </w:r>
      <w:r w:rsidRPr="00061A5D">
        <w:rPr>
          <w:i/>
        </w:rPr>
        <w:t xml:space="preserve">inter </w:t>
      </w:r>
      <w:proofErr w:type="spellStart"/>
      <w:r w:rsidRPr="00061A5D">
        <w:rPr>
          <w:i/>
        </w:rPr>
        <w:t>partes</w:t>
      </w:r>
      <w:proofErr w:type="spellEnd"/>
      <w:r w:rsidRPr="00061A5D">
        <w:t xml:space="preserve"> </w:t>
      </w:r>
      <w:r w:rsidR="00DB2264" w:rsidRPr="00061A5D">
        <w:t xml:space="preserve">rules and provisions </w:t>
      </w:r>
      <w:r w:rsidRPr="00061A5D">
        <w:t>that govern</w:t>
      </w:r>
      <w:r w:rsidR="0053767C" w:rsidRPr="00061A5D">
        <w:t xml:space="preserve"> the rights &amp; obligations of</w:t>
      </w:r>
      <w:r w:rsidRPr="00061A5D">
        <w:t xml:space="preserve"> the Team and </w:t>
      </w:r>
      <w:r w:rsidR="0053767C" w:rsidRPr="00061A5D">
        <w:t xml:space="preserve">of </w:t>
      </w:r>
      <w:r w:rsidRPr="00061A5D">
        <w:t>its respective Member</w:t>
      </w:r>
      <w:r w:rsidR="0053767C" w:rsidRPr="00061A5D">
        <w:t>s, as a whole</w:t>
      </w:r>
      <w:r w:rsidRPr="00061A5D">
        <w:t xml:space="preserve">. </w:t>
      </w:r>
      <w:r w:rsidR="0053767C" w:rsidRPr="00061A5D">
        <w:t>T</w:t>
      </w:r>
      <w:r w:rsidRPr="00061A5D">
        <w:t xml:space="preserve">he Team Project Contract (TPC), this Definition List, the Statement of Work (SOW), the </w:t>
      </w:r>
      <w:r w:rsidR="00A05208" w:rsidRPr="00061A5D">
        <w:t>Technology &amp; Knowledge Transfer Arrangement (TKTA)</w:t>
      </w:r>
      <w:r w:rsidRPr="00061A5D">
        <w:t xml:space="preserve"> as well as the Community Manifesto for Open Innovation (CMOI) are deemed</w:t>
      </w:r>
      <w:r w:rsidR="0053767C" w:rsidRPr="00061A5D">
        <w:t xml:space="preserve">, </w:t>
      </w:r>
      <w:r w:rsidR="00A05208" w:rsidRPr="00061A5D">
        <w:t>as part of</w:t>
      </w:r>
      <w:r w:rsidR="0053767C" w:rsidRPr="00061A5D">
        <w:t xml:space="preserve"> the Feasibility Study,</w:t>
      </w:r>
      <w:r w:rsidRPr="00061A5D">
        <w:t xml:space="preserve"> to form the TPC Rules as an integral contract.</w:t>
      </w:r>
      <w:bookmarkEnd w:id="14"/>
      <w:r w:rsidR="004A7F6C">
        <w:t xml:space="preserve"> </w:t>
      </w:r>
    </w:p>
    <w:p w14:paraId="56B36C5E" w14:textId="5AD3F61F" w:rsidR="002C0F22" w:rsidRPr="004A7F6C" w:rsidRDefault="00BC436E" w:rsidP="00BC436E">
      <w:pPr>
        <w:pStyle w:val="COMINNOParagraph"/>
        <w:numPr>
          <w:ilvl w:val="0"/>
          <w:numId w:val="0"/>
        </w:numPr>
        <w:autoSpaceDN/>
        <w:ind w:left="31"/>
        <w:textAlignment w:val="auto"/>
      </w:pPr>
      <w:r>
        <w:t>Subject</w:t>
      </w:r>
      <w:r w:rsidR="004A7F6C">
        <w:t xml:space="preserve"> to the Terms of Service</w:t>
      </w:r>
      <w:r w:rsidR="004A7F6C" w:rsidRPr="004A7F6C">
        <w:t xml:space="preserve">, any Team is free to design and adopt its own TPC Rules in </w:t>
      </w:r>
      <w:proofErr w:type="gramStart"/>
      <w:r w:rsidR="004A7F6C" w:rsidRPr="004A7F6C">
        <w:t xml:space="preserve">any </w:t>
      </w:r>
      <w:r w:rsidR="004A7F6C">
        <w:t>and all</w:t>
      </w:r>
      <w:proofErr w:type="gramEnd"/>
      <w:r w:rsidR="004A7F6C">
        <w:t xml:space="preserve"> </w:t>
      </w:r>
      <w:r w:rsidR="004A7F6C" w:rsidRPr="004A7F6C">
        <w:t>manner</w:t>
      </w:r>
      <w:r w:rsidR="004A7F6C">
        <w:t xml:space="preserve">s </w:t>
      </w:r>
      <w:r w:rsidR="00362D15">
        <w:t>&amp;</w:t>
      </w:r>
      <w:r w:rsidR="004A7F6C">
        <w:t xml:space="preserve"> forms that</w:t>
      </w:r>
      <w:r w:rsidR="004A7F6C" w:rsidRPr="004A7F6C">
        <w:t xml:space="preserve"> it sees fit.</w:t>
      </w:r>
    </w:p>
    <w:p w14:paraId="756111A7" w14:textId="77777777" w:rsidR="002C0F22" w:rsidRPr="00061A5D" w:rsidRDefault="002C0F22" w:rsidP="002C0F22">
      <w:pPr>
        <w:rPr>
          <w:rFonts w:cs="Helvetica"/>
        </w:rPr>
      </w:pPr>
    </w:p>
    <w:p w14:paraId="27EF3705" w14:textId="77777777" w:rsidR="002C0F22" w:rsidRPr="00061A5D" w:rsidRDefault="002C0F22" w:rsidP="002C0F22">
      <w:pPr>
        <w:rPr>
          <w:rFonts w:cs="Helvetica"/>
        </w:rPr>
      </w:pPr>
    </w:p>
    <w:p w14:paraId="1F1E7E54" w14:textId="77777777" w:rsidR="002C0F22" w:rsidRPr="00061A5D" w:rsidRDefault="002C0F22" w:rsidP="002C0F22">
      <w:pPr>
        <w:rPr>
          <w:rFonts w:cs="Helvetica"/>
        </w:rPr>
      </w:pPr>
    </w:p>
    <w:p w14:paraId="6FE1293D" w14:textId="77777777" w:rsidR="002C0F22" w:rsidRPr="00061A5D" w:rsidRDefault="002C0F22" w:rsidP="002C0F22">
      <w:pPr>
        <w:rPr>
          <w:rFonts w:cs="Helvetica"/>
        </w:rPr>
      </w:pPr>
    </w:p>
    <w:p w14:paraId="2BF8095D" w14:textId="77777777" w:rsidR="002C0F22" w:rsidRPr="00061A5D" w:rsidRDefault="002C0F22" w:rsidP="002C0F22">
      <w:pPr>
        <w:rPr>
          <w:rFonts w:cs="Helvetica"/>
        </w:rPr>
      </w:pPr>
    </w:p>
    <w:p w14:paraId="658C0688" w14:textId="77777777" w:rsidR="002C0F22" w:rsidRPr="00061A5D" w:rsidRDefault="002C0F22" w:rsidP="002C0F22">
      <w:pPr>
        <w:rPr>
          <w:rFonts w:cs="Helvetica"/>
        </w:rPr>
      </w:pPr>
    </w:p>
    <w:p w14:paraId="405EC53C" w14:textId="77777777" w:rsidR="002C0F22" w:rsidRPr="00061A5D" w:rsidRDefault="002C0F22" w:rsidP="002C0F22">
      <w:pPr>
        <w:rPr>
          <w:rFonts w:cs="Helvetica"/>
        </w:rPr>
      </w:pPr>
    </w:p>
    <w:tbl>
      <w:tblPr>
        <w:tblW w:w="3408" w:type="dxa"/>
        <w:tblInd w:w="56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</w:tblGrid>
      <w:tr w:rsidR="00061A5D" w:rsidRPr="00061A5D" w14:paraId="1555A971" w14:textId="77777777" w:rsidTr="00EA343C">
        <w:tc>
          <w:tcPr>
            <w:tcW w:w="3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514876" w14:textId="77777777" w:rsidR="002C0F22" w:rsidRPr="00061A5D" w:rsidRDefault="002C0F22" w:rsidP="00EA343C">
            <w:pPr>
              <w:pStyle w:val="Standard"/>
              <w:widowControl w:val="0"/>
              <w:rPr>
                <w:rFonts w:cs="Helvetica"/>
                <w:b/>
              </w:rPr>
            </w:pPr>
            <w:r w:rsidRPr="00061A5D">
              <w:rPr>
                <w:rFonts w:cs="Helvetica"/>
                <w:b/>
              </w:rPr>
              <w:t>Ratification by the Operator</w:t>
            </w:r>
          </w:p>
        </w:tc>
      </w:tr>
      <w:tr w:rsidR="00061A5D" w:rsidRPr="00061A5D" w14:paraId="70EECC97" w14:textId="77777777" w:rsidTr="00EA343C">
        <w:trPr>
          <w:trHeight w:val="1469"/>
        </w:trPr>
        <w:tc>
          <w:tcPr>
            <w:tcW w:w="3408" w:type="dxa"/>
            <w:tcBorders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520DF9" w14:textId="77777777" w:rsidR="002C0F22" w:rsidRPr="00061A5D" w:rsidRDefault="002C0F22" w:rsidP="00EA343C">
            <w:pPr>
              <w:pStyle w:val="Standard"/>
              <w:widowControl w:val="0"/>
              <w:rPr>
                <w:rFonts w:cs="Helvetica"/>
              </w:rPr>
            </w:pPr>
          </w:p>
        </w:tc>
      </w:tr>
      <w:tr w:rsidR="002C0F22" w:rsidRPr="00061A5D" w14:paraId="6B90CABF" w14:textId="77777777" w:rsidTr="00EA343C">
        <w:trPr>
          <w:trHeight w:val="239"/>
        </w:trPr>
        <w:tc>
          <w:tcPr>
            <w:tcW w:w="3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2BB378" w14:textId="3C068AD1" w:rsidR="002C0F22" w:rsidRPr="00061A5D" w:rsidRDefault="002C0F22" w:rsidP="00EA343C">
            <w:pPr>
              <w:rPr>
                <w:rFonts w:cs="Helvetica"/>
              </w:rPr>
            </w:pPr>
            <w:r w:rsidRPr="00061A5D">
              <w:rPr>
                <w:rFonts w:cs="Helvetica"/>
              </w:rPr>
              <w:t xml:space="preserve">Effective Date: </w:t>
            </w:r>
            <w:r w:rsidRPr="00061A5D">
              <w:rPr>
                <w:rFonts w:cs="Helvetica"/>
              </w:rPr>
              <w:fldChar w:fldCharType="begin"/>
            </w:r>
            <w:r w:rsidRPr="00061A5D">
              <w:rPr>
                <w:rFonts w:cs="Helvetica"/>
              </w:rPr>
              <w:instrText>TIME \@"d\ MMMM\ yyyy"</w:instrText>
            </w:r>
            <w:r w:rsidRPr="00061A5D">
              <w:rPr>
                <w:rFonts w:cs="Helvetica"/>
              </w:rPr>
              <w:fldChar w:fldCharType="separate"/>
            </w:r>
            <w:r w:rsidR="00353CD6">
              <w:rPr>
                <w:rFonts w:cs="Helvetica"/>
                <w:noProof/>
              </w:rPr>
              <w:t>27 July 2021</w:t>
            </w:r>
            <w:r w:rsidRPr="00061A5D">
              <w:rPr>
                <w:rFonts w:cs="Helvetica"/>
              </w:rPr>
              <w:fldChar w:fldCharType="end"/>
            </w:r>
          </w:p>
        </w:tc>
      </w:tr>
    </w:tbl>
    <w:p w14:paraId="0D320F13" w14:textId="78830DC0" w:rsidR="001A31EE" w:rsidRPr="00061A5D" w:rsidRDefault="001A31EE" w:rsidP="002C0F22">
      <w:pPr>
        <w:rPr>
          <w:rFonts w:cs="Helvetica"/>
        </w:rPr>
      </w:pPr>
    </w:p>
    <w:sectPr w:rsidR="001A31EE" w:rsidRPr="00061A5D" w:rsidSect="007B20BA">
      <w:footerReference w:type="default" r:id="rId12"/>
      <w:headerReference w:type="first" r:id="rId13"/>
      <w:pgSz w:w="11906" w:h="16838"/>
      <w:pgMar w:top="1134" w:right="1134" w:bottom="1134" w:left="1134" w:header="720" w:footer="720" w:gutter="0"/>
      <w:cols w:space="720"/>
      <w:titlePg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Quentin Adler" w:date="2021-07-24T16:43:00Z" w:initials="QA">
    <w:p w14:paraId="637A861F" w14:textId="167AACAF" w:rsidR="00427F3C" w:rsidRDefault="00427F3C" w:rsidP="00427F3C">
      <w:pPr>
        <w:pStyle w:val="Commentaire"/>
      </w:pPr>
      <w:r>
        <w:rPr>
          <w:rStyle w:val="Marquedecommentaire"/>
        </w:rPr>
        <w:annotationRef/>
      </w:r>
      <w:r>
        <w:rPr>
          <w:rStyle w:val="Marquedecommentaire"/>
        </w:rPr>
        <w:t xml:space="preserve"> </w:t>
      </w:r>
      <w:r>
        <w:rPr>
          <w:rStyle w:val="Marquedecommentaire"/>
        </w:rPr>
        <w:annotationRef/>
      </w:r>
      <w:r>
        <w:t xml:space="preserve">Please indicate the “administrative” name of your Team, given by the Operator. </w:t>
      </w:r>
    </w:p>
    <w:p w14:paraId="0E4C432E" w14:textId="5C3F8B72" w:rsidR="00427F3C" w:rsidRDefault="00427F3C">
      <w:pPr>
        <w:pStyle w:val="Commentaire"/>
      </w:pPr>
    </w:p>
  </w:comment>
  <w:comment w:id="1" w:author="Quentin Adler" w:date="2021-07-25T03:20:00Z" w:initials="QA">
    <w:p w14:paraId="385CE053" w14:textId="77777777" w:rsidR="004C3164" w:rsidRDefault="004C3164" w:rsidP="004C3164">
      <w:pPr>
        <w:pStyle w:val="Commentaire"/>
        <w:rPr>
          <w:b/>
          <w:u w:val="single"/>
        </w:rPr>
      </w:pPr>
      <w:r>
        <w:rPr>
          <w:rStyle w:val="Marquedecommentaire"/>
        </w:rPr>
        <w:annotationRef/>
      </w:r>
      <w:r>
        <w:rPr>
          <w:rStyle w:val="Marquedecommentaire"/>
        </w:rPr>
        <w:annotationRef/>
      </w:r>
      <w:r w:rsidRPr="00016FA0">
        <w:rPr>
          <w:b/>
          <w:u w:val="single"/>
        </w:rPr>
        <w:t>DISCLAIMER</w:t>
      </w:r>
    </w:p>
    <w:p w14:paraId="5E16AB7D" w14:textId="77777777" w:rsidR="004C3164" w:rsidRDefault="004C3164" w:rsidP="004C3164">
      <w:pPr>
        <w:pStyle w:val="Commentaire"/>
        <w:rPr>
          <w:b/>
          <w:u w:val="single"/>
        </w:rPr>
      </w:pPr>
    </w:p>
    <w:p w14:paraId="4A19292E" w14:textId="228B1C72" w:rsidR="004C3164" w:rsidRPr="004C3164" w:rsidRDefault="004C3164">
      <w:pPr>
        <w:pStyle w:val="Commentaire"/>
        <w:rPr>
          <w:b/>
        </w:rPr>
      </w:pPr>
      <w:r w:rsidRPr="00016FA0">
        <w:rPr>
          <w:b/>
        </w:rPr>
        <w:t xml:space="preserve">THIS </w:t>
      </w:r>
      <w:r>
        <w:rPr>
          <w:b/>
        </w:rPr>
        <w:t xml:space="preserve">DOCUMENT </w:t>
      </w:r>
      <w:r w:rsidRPr="00016FA0">
        <w:rPr>
          <w:b/>
        </w:rPr>
        <w:t>IS</w:t>
      </w:r>
      <w:r>
        <w:rPr>
          <w:b/>
        </w:rPr>
        <w:t xml:space="preserve"> MERELY AND SOLELY</w:t>
      </w:r>
      <w:r w:rsidRPr="00016FA0">
        <w:rPr>
          <w:b/>
        </w:rPr>
        <w:t xml:space="preserve"> A TEMPLATE AGREEMENT</w:t>
      </w:r>
      <w:r>
        <w:rPr>
          <w:b/>
        </w:rPr>
        <w:t xml:space="preserve">, NOT A CONTRACT TO BE BLINDLY SIGNED. </w:t>
      </w:r>
      <w:r>
        <w:rPr>
          <w:b/>
        </w:rPr>
        <w:br/>
      </w:r>
      <w:r>
        <w:rPr>
          <w:b/>
        </w:rPr>
        <w:br/>
        <w:t xml:space="preserve">IT MAY SERVE AS “FOOD FOR THOUGHT” WHILE NEGOTIATING WITH YOUR (FUTURE) </w:t>
      </w:r>
      <w:proofErr w:type="gramStart"/>
      <w:r>
        <w:rPr>
          <w:b/>
        </w:rPr>
        <w:t>TEAM MATES</w:t>
      </w:r>
      <w:proofErr w:type="gramEnd"/>
      <w:r>
        <w:rPr>
          <w:b/>
        </w:rPr>
        <w:t xml:space="preserve"> OR DRAFTING YOUR CONTRACT, BUT YOU DO NOT HAVE TO USE THIS TEMPLATE (OR ANY OTHER TEMPLATE) IN ANY MANNER. </w:t>
      </w:r>
      <w:r>
        <w:rPr>
          <w:b/>
        </w:rPr>
        <w:br/>
      </w:r>
      <w:r>
        <w:rPr>
          <w:b/>
        </w:rPr>
        <w:br/>
        <w:t>THIS TEMPLATE IS PROVIDED “AS IS” AND WITHOUT ANY WARRANTIES OF ANY KIND: IT MAY CONTAIN ERRORS, INACCURARCIES AND PROVE INADEQUATE FOR YOUR PROJECT AND/OR YOUR TEAM.</w:t>
      </w:r>
      <w:r>
        <w:rPr>
          <w:b/>
        </w:rPr>
        <w:br/>
      </w:r>
      <w:r>
        <w:rPr>
          <w:b/>
        </w:rPr>
        <w:br/>
        <w:t>NOTHING IN THIS TEMPLATE, INCLUDING THE INFORMATION IN MARGINS, SHALL BE CONSTRUED OR UNDERSTOOD AS A LEGAL ADVICE OR AS AN AUTHORITATIVE</w:t>
      </w:r>
      <w:r>
        <w:rPr>
          <w:b/>
          <w:bCs/>
        </w:rPr>
        <w:t xml:space="preserve"> </w:t>
      </w:r>
      <w:r>
        <w:rPr>
          <w:b/>
        </w:rPr>
        <w:t xml:space="preserve">ADVICE OF ANY KIND. </w:t>
      </w:r>
      <w:r>
        <w:rPr>
          <w:b/>
        </w:rPr>
        <w:br/>
      </w:r>
      <w:r>
        <w:rPr>
          <w:b/>
        </w:rPr>
        <w:br/>
        <w:t xml:space="preserve">IF YOU ARE NOT A LEGAL </w:t>
      </w:r>
      <w:r w:rsidRPr="00654E61">
        <w:rPr>
          <w:b/>
        </w:rPr>
        <w:t xml:space="preserve">PRACTITIONER </w:t>
      </w:r>
      <w:r>
        <w:rPr>
          <w:b/>
        </w:rPr>
        <w:t xml:space="preserve">YOURSELF, PLEASE CONSULT ONE. </w:t>
      </w:r>
    </w:p>
  </w:comment>
  <w:comment w:id="5" w:author="Quentin Adler" w:date="2021-07-15T16:45:00Z" w:initials="QA">
    <w:p w14:paraId="0AEF9379" w14:textId="77777777" w:rsidR="0083168D" w:rsidRPr="00745C2C" w:rsidRDefault="0083168D" w:rsidP="0083168D">
      <w:pPr>
        <w:pStyle w:val="Commentaire"/>
      </w:pPr>
      <w:r>
        <w:rPr>
          <w:rStyle w:val="Marquedecommentaire"/>
        </w:rPr>
        <w:annotationRef/>
      </w:r>
      <w:hyperlink r:id="rId1" w:history="1">
        <w:r w:rsidRPr="00745C2C">
          <w:rPr>
            <w:rStyle w:val="Lienhypertexte"/>
          </w:rPr>
          <w:t>https://sourceforge.net/directory/</w:t>
        </w:r>
      </w:hyperlink>
      <w:r w:rsidRPr="00745C2C">
        <w:t xml:space="preserve"> </w:t>
      </w:r>
    </w:p>
  </w:comment>
  <w:comment w:id="6" w:author="Quentin Adler" w:date="2021-07-15T16:45:00Z" w:initials="QA">
    <w:p w14:paraId="23F950BE" w14:textId="77777777" w:rsidR="0083168D" w:rsidRPr="00745C2C" w:rsidRDefault="0083168D" w:rsidP="0083168D">
      <w:pPr>
        <w:pStyle w:val="Commentaire"/>
      </w:pPr>
      <w:r>
        <w:rPr>
          <w:rStyle w:val="Marquedecommentaire"/>
        </w:rPr>
        <w:annotationRef/>
      </w:r>
      <w:hyperlink r:id="rId2" w:history="1">
        <w:r w:rsidRPr="00745C2C">
          <w:rPr>
            <w:rStyle w:val="Lienhypertexte"/>
          </w:rPr>
          <w:t>https://github.com/explore</w:t>
        </w:r>
      </w:hyperlink>
      <w:r w:rsidRPr="00745C2C">
        <w:t xml:space="preserve"> </w:t>
      </w:r>
    </w:p>
  </w:comment>
  <w:comment w:id="7" w:author="Quentin Adler" w:date="2021-07-15T16:49:00Z" w:initials="QA">
    <w:p w14:paraId="2E9B3CF3" w14:textId="77777777" w:rsidR="0083168D" w:rsidRPr="00745C2C" w:rsidRDefault="0083168D" w:rsidP="0083168D">
      <w:pPr>
        <w:pStyle w:val="Commentaire"/>
      </w:pPr>
      <w:r>
        <w:rPr>
          <w:rStyle w:val="Marquedecommentaire"/>
        </w:rPr>
        <w:annotationRef/>
      </w:r>
      <w:hyperlink r:id="rId3" w:history="1">
        <w:r w:rsidRPr="00745C2C">
          <w:rPr>
            <w:rStyle w:val="Lienhypertexte"/>
          </w:rPr>
          <w:t>https://ohwr.org/explore</w:t>
        </w:r>
      </w:hyperlink>
      <w:r w:rsidRPr="00745C2C">
        <w:t xml:space="preserve"> </w:t>
      </w:r>
    </w:p>
  </w:comment>
  <w:comment w:id="8" w:author="Quentin Adler" w:date="2021-07-15T16:50:00Z" w:initials="QA">
    <w:p w14:paraId="147E0B66" w14:textId="77777777" w:rsidR="0083168D" w:rsidRPr="00745C2C" w:rsidRDefault="0083168D" w:rsidP="0083168D">
      <w:pPr>
        <w:pStyle w:val="Commentaire"/>
      </w:pPr>
      <w:r>
        <w:rPr>
          <w:rStyle w:val="Marquedecommentaire"/>
        </w:rPr>
        <w:annotationRef/>
      </w:r>
      <w:hyperlink r:id="rId4" w:history="1">
        <w:r w:rsidRPr="00745C2C">
          <w:rPr>
            <w:rStyle w:val="Lienhypertexte"/>
          </w:rPr>
          <w:t>https://en.wikipedia.org/wiki/Help:Introduction</w:t>
        </w:r>
      </w:hyperlink>
      <w:r w:rsidRPr="00745C2C">
        <w:t xml:space="preserve"> </w:t>
      </w:r>
    </w:p>
  </w:comment>
  <w:comment w:id="9" w:author="Quentin Adler" w:date="2021-07-15T16:48:00Z" w:initials="QA">
    <w:p w14:paraId="428808B8" w14:textId="77777777" w:rsidR="0083168D" w:rsidRPr="00745C2C" w:rsidRDefault="0083168D" w:rsidP="0083168D">
      <w:pPr>
        <w:pStyle w:val="Commentaire"/>
      </w:pPr>
      <w:r>
        <w:rPr>
          <w:rStyle w:val="Marquedecommentaire"/>
        </w:rPr>
        <w:annotationRef/>
      </w:r>
      <w:hyperlink r:id="rId5" w:history="1">
        <w:r w:rsidRPr="00745C2C">
          <w:rPr>
            <w:rStyle w:val="Lienhypertexte"/>
          </w:rPr>
          <w:t>https://joinup.ec.europa.eu/collections</w:t>
        </w:r>
      </w:hyperlink>
      <w:r w:rsidRPr="00745C2C">
        <w:t xml:space="preserve"> </w:t>
      </w:r>
    </w:p>
  </w:comment>
  <w:comment w:id="11" w:author="Quentin Adler" w:date="2021-07-25T02:17:00Z" w:initials="QA">
    <w:p w14:paraId="724B77B4" w14:textId="543E7CAE" w:rsidR="00195007" w:rsidRDefault="00016204">
      <w:pPr>
        <w:pStyle w:val="Commentaire"/>
      </w:pPr>
      <w:r>
        <w:rPr>
          <w:rStyle w:val="Marquedecommentaire"/>
        </w:rPr>
        <w:annotationRef/>
      </w:r>
      <w:r w:rsidRPr="00195007">
        <w:rPr>
          <w:u w:val="single"/>
        </w:rPr>
        <w:t>INFORMATION</w:t>
      </w:r>
      <w:r>
        <w:br/>
      </w:r>
      <w:r>
        <w:br/>
      </w:r>
      <w:r w:rsidR="00195007">
        <w:t xml:space="preserve">There is a general access to Background IPR for the purpose of the Feasibility Study under the </w:t>
      </w:r>
      <w:proofErr w:type="gramStart"/>
      <w:r w:rsidR="00195007">
        <w:t>TKTA</w:t>
      </w:r>
      <w:proofErr w:type="gramEnd"/>
      <w:r w:rsidR="00195007">
        <w:t xml:space="preserve"> so you don’t need to list ALL your Background IPR in the Resource Pool.</w:t>
      </w:r>
    </w:p>
    <w:p w14:paraId="20A42C0B" w14:textId="77777777" w:rsidR="00195007" w:rsidRDefault="00195007">
      <w:pPr>
        <w:pStyle w:val="Commentaire"/>
      </w:pPr>
    </w:p>
    <w:p w14:paraId="2BE69D94" w14:textId="309F21FE" w:rsidR="00195007" w:rsidRDefault="00195007">
      <w:pPr>
        <w:pStyle w:val="Commentaire"/>
      </w:pPr>
      <w:r>
        <w:t xml:space="preserve">However: </w:t>
      </w:r>
      <w:r>
        <w:br/>
        <w:t>- Usually, when you make a piece of Background IPR available as a resource in a specific manner, it means that this Background IPR is particularly useful or relevant for the feasibility study, and your team members should know about it.</w:t>
      </w:r>
      <w:r>
        <w:br/>
      </w:r>
      <w:r>
        <w:br/>
        <w:t xml:space="preserve">- Adding Background IPR in the Resource Pool is important </w:t>
      </w:r>
      <w:proofErr w:type="gramStart"/>
      <w:r>
        <w:t>in order to</w:t>
      </w:r>
      <w:proofErr w:type="gramEnd"/>
      <w:r>
        <w:t xml:space="preserve"> define, under the TKTA, access and assignment rights in relating to the Foreground IPR, for instance.</w:t>
      </w:r>
      <w:r>
        <w:br/>
      </w:r>
    </w:p>
    <w:p w14:paraId="045639D1" w14:textId="4FA33759" w:rsidR="00016204" w:rsidRDefault="00195007">
      <w:pPr>
        <w:pStyle w:val="Commentaire"/>
      </w:pPr>
      <w:r>
        <w:t>Thus, you should make sure to indicate in the Resource Pool any Background IPR that is useful/important for the Project and for using the Foreground IPR.</w:t>
      </w:r>
    </w:p>
    <w:p w14:paraId="438F3882" w14:textId="77777777" w:rsidR="00195007" w:rsidRDefault="00195007">
      <w:pPr>
        <w:pStyle w:val="Commentaire"/>
      </w:pPr>
    </w:p>
    <w:p w14:paraId="6877B1A2" w14:textId="1B53A9BE" w:rsidR="00195007" w:rsidRPr="00195007" w:rsidRDefault="00195007">
      <w:pPr>
        <w:pStyle w:val="Commentaire"/>
        <w:rPr>
          <w:u w:val="single"/>
        </w:rPr>
      </w:pPr>
      <w:r>
        <w:t xml:space="preserve">- In principle, Secrets should be added to the Resource Pool. Otherwise, it </w:t>
      </w:r>
      <w:r w:rsidR="008557B6">
        <w:t xml:space="preserve">seems that it </w:t>
      </w:r>
      <w:r w:rsidR="00FC3097">
        <w:t>would make little sense to</w:t>
      </w:r>
      <w:r>
        <w:t xml:space="preserve"> </w:t>
      </w:r>
      <w:r w:rsidR="00FC3097">
        <w:t xml:space="preserve">disclose </w:t>
      </w:r>
      <w:r>
        <w:t>them</w:t>
      </w:r>
      <w:r w:rsidR="00FC3097">
        <w:t xml:space="preserve"> in the first place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E4C432E" w15:done="0"/>
  <w15:commentEx w15:paraId="4A19292E" w15:done="0"/>
  <w15:commentEx w15:paraId="0AEF9379" w15:done="0"/>
  <w15:commentEx w15:paraId="23F950BE" w15:done="0"/>
  <w15:commentEx w15:paraId="2E9B3CF3" w15:done="0"/>
  <w15:commentEx w15:paraId="147E0B66" w15:done="0"/>
  <w15:commentEx w15:paraId="428808B8" w15:done="0"/>
  <w15:commentEx w15:paraId="6877B1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C432E" w16cid:durableId="24AAF83A"/>
  <w16cid:commentId w16cid:paraId="4A19292E" w16cid:durableId="24AAF83B"/>
  <w16cid:commentId w16cid:paraId="0AEF9379" w16cid:durableId="24AAF83C"/>
  <w16cid:commentId w16cid:paraId="23F950BE" w16cid:durableId="24AAF83D"/>
  <w16cid:commentId w16cid:paraId="2E9B3CF3" w16cid:durableId="24AAF83E"/>
  <w16cid:commentId w16cid:paraId="147E0B66" w16cid:durableId="24AAF83F"/>
  <w16cid:commentId w16cid:paraId="428808B8" w16cid:durableId="24AAF840"/>
  <w16cid:commentId w16cid:paraId="6877B1A2" w16cid:durableId="24AAF8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7607D" w14:textId="77777777" w:rsidR="004F577B" w:rsidRDefault="004F577B">
      <w:r>
        <w:separator/>
      </w:r>
    </w:p>
  </w:endnote>
  <w:endnote w:type="continuationSeparator" w:id="0">
    <w:p w14:paraId="2A89DB70" w14:textId="77777777" w:rsidR="004F577B" w:rsidRDefault="004F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Noto Sans CJK SC">
    <w:charset w:val="00"/>
    <w:family w:val="auto"/>
    <w:pitch w:val="variable"/>
  </w:font>
  <w:font w:name="Ubuntu Mono">
    <w:altName w:val="Times New Roman"/>
    <w:charset w:val="01"/>
    <w:family w:val="auto"/>
    <w:pitch w:val="default"/>
  </w:font>
  <w:font w:name="F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48A92" w14:textId="7F37E6C8" w:rsidR="002C0F22" w:rsidRPr="004204F3" w:rsidRDefault="002C0F22" w:rsidP="004204F3">
    <w:pPr>
      <w:pStyle w:val="En-tte"/>
      <w:jc w:val="right"/>
      <w:rPr>
        <w:rFonts w:cs="Helvetica"/>
        <w:sz w:val="16"/>
        <w:szCs w:val="16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sdt>
      <w:sdtPr>
        <w:rPr>
          <w:rFonts w:cs="Helvetica"/>
          <w:sz w:val="16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4204F3" w:rsidRPr="00053AAF">
          <w:rPr>
            <w:rFonts w:cs="Helvetica"/>
            <w:bCs/>
            <w:sz w:val="16"/>
            <w:szCs w:val="16"/>
          </w:rPr>
          <w:fldChar w:fldCharType="begin"/>
        </w:r>
        <w:r w:rsidR="004204F3" w:rsidRPr="00053AAF">
          <w:rPr>
            <w:rFonts w:cs="Helvetica"/>
            <w:bCs/>
            <w:sz w:val="16"/>
            <w:szCs w:val="16"/>
          </w:rPr>
          <w:instrText xml:space="preserve"> PAGE </w:instrText>
        </w:r>
        <w:r w:rsidR="004204F3" w:rsidRPr="00053AAF">
          <w:rPr>
            <w:rFonts w:cs="Helvetica"/>
            <w:bCs/>
            <w:sz w:val="16"/>
            <w:szCs w:val="16"/>
          </w:rPr>
          <w:fldChar w:fldCharType="separate"/>
        </w:r>
        <w:r w:rsidR="004C3164">
          <w:rPr>
            <w:rFonts w:cs="Helvetica"/>
            <w:bCs/>
            <w:noProof/>
            <w:sz w:val="16"/>
            <w:szCs w:val="16"/>
          </w:rPr>
          <w:t>5</w:t>
        </w:r>
        <w:r w:rsidR="004204F3" w:rsidRPr="00053AAF">
          <w:rPr>
            <w:rFonts w:cs="Helvetica"/>
            <w:bCs/>
            <w:sz w:val="16"/>
            <w:szCs w:val="16"/>
          </w:rPr>
          <w:fldChar w:fldCharType="end"/>
        </w:r>
        <w:r w:rsidR="004204F3" w:rsidRPr="00053AAF">
          <w:rPr>
            <w:rFonts w:cs="Helvetica"/>
            <w:sz w:val="16"/>
            <w:szCs w:val="16"/>
          </w:rPr>
          <w:t>/</w:t>
        </w:r>
        <w:r w:rsidR="004204F3" w:rsidRPr="00053AAF">
          <w:rPr>
            <w:rFonts w:cs="Helvetica"/>
            <w:bCs/>
            <w:sz w:val="16"/>
            <w:szCs w:val="16"/>
          </w:rPr>
          <w:fldChar w:fldCharType="begin"/>
        </w:r>
        <w:r w:rsidR="004204F3" w:rsidRPr="00053AAF">
          <w:rPr>
            <w:rFonts w:cs="Helvetica"/>
            <w:bCs/>
            <w:sz w:val="16"/>
            <w:szCs w:val="16"/>
          </w:rPr>
          <w:instrText xml:space="preserve"> NUMPAGES  </w:instrText>
        </w:r>
        <w:r w:rsidR="004204F3" w:rsidRPr="00053AAF">
          <w:rPr>
            <w:rFonts w:cs="Helvetica"/>
            <w:bCs/>
            <w:sz w:val="16"/>
            <w:szCs w:val="16"/>
          </w:rPr>
          <w:fldChar w:fldCharType="separate"/>
        </w:r>
        <w:r w:rsidR="004C3164">
          <w:rPr>
            <w:rFonts w:cs="Helvetica"/>
            <w:bCs/>
            <w:noProof/>
            <w:sz w:val="16"/>
            <w:szCs w:val="16"/>
          </w:rPr>
          <w:t>5</w:t>
        </w:r>
        <w:r w:rsidR="004204F3" w:rsidRPr="00053AAF">
          <w:rPr>
            <w:rFonts w:cs="Helvetic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830CC" w14:textId="77777777" w:rsidR="004F577B" w:rsidRDefault="004F577B">
      <w:r>
        <w:rPr>
          <w:color w:val="000000"/>
        </w:rPr>
        <w:separator/>
      </w:r>
    </w:p>
  </w:footnote>
  <w:footnote w:type="continuationSeparator" w:id="0">
    <w:p w14:paraId="5ED14B85" w14:textId="77777777" w:rsidR="004F577B" w:rsidRDefault="004F577B">
      <w:r>
        <w:continuationSeparator/>
      </w:r>
    </w:p>
  </w:footnote>
  <w:footnote w:id="1">
    <w:p w14:paraId="7E8DE38E" w14:textId="0B8823BE" w:rsidR="00864AEF" w:rsidRPr="00864AEF" w:rsidRDefault="00864AEF">
      <w:pPr>
        <w:pStyle w:val="Notedebasdepage"/>
        <w:rPr>
          <w:rFonts w:cs="Helvetica"/>
          <w:sz w:val="18"/>
        </w:rPr>
      </w:pPr>
      <w:r w:rsidRPr="00864AEF">
        <w:rPr>
          <w:rStyle w:val="Appelnotedebasdep"/>
          <w:rFonts w:cs="Helvetica"/>
          <w:sz w:val="18"/>
        </w:rPr>
        <w:footnoteRef/>
      </w:r>
      <w:r w:rsidRPr="00864AEF">
        <w:rPr>
          <w:rFonts w:cs="Helvetica"/>
          <w:sz w:val="18"/>
        </w:rPr>
        <w:t xml:space="preserve"> </w:t>
      </w:r>
      <w:hyperlink r:id="rId1">
        <w:r w:rsidRPr="00864AEF">
          <w:rPr>
            <w:rFonts w:eastAsia="Calibri" w:cs="Helvetica"/>
            <w:sz w:val="18"/>
            <w:lang w:eastAsia="en-US"/>
          </w:rPr>
          <w:t>https://opensource.org/licenses/category</w:t>
        </w:r>
      </w:hyperlink>
    </w:p>
  </w:footnote>
  <w:footnote w:id="2">
    <w:p w14:paraId="41B9DAA2" w14:textId="2B0EDEBF" w:rsidR="00864AEF" w:rsidRPr="00864AEF" w:rsidRDefault="00864AEF">
      <w:pPr>
        <w:pStyle w:val="Notedebasdepage"/>
        <w:rPr>
          <w:rFonts w:cs="Helvetica"/>
          <w:sz w:val="18"/>
        </w:rPr>
      </w:pPr>
      <w:r w:rsidRPr="00864AEF">
        <w:rPr>
          <w:rStyle w:val="Appelnotedebasdep"/>
          <w:rFonts w:cs="Helvetica"/>
          <w:sz w:val="18"/>
        </w:rPr>
        <w:footnoteRef/>
      </w:r>
      <w:r w:rsidRPr="00864AEF">
        <w:rPr>
          <w:rFonts w:cs="Helvetica"/>
          <w:sz w:val="18"/>
        </w:rPr>
        <w:t xml:space="preserve"> </w:t>
      </w:r>
      <w:hyperlink r:id="rId2">
        <w:r w:rsidRPr="00864AEF">
          <w:rPr>
            <w:rFonts w:eastAsia="Calibri" w:cs="Helvetica"/>
            <w:sz w:val="18"/>
            <w:lang w:eastAsia="en-US"/>
          </w:rPr>
          <w:t>https://www.oshwa.org/definition/</w:t>
        </w:r>
      </w:hyperlink>
    </w:p>
  </w:footnote>
  <w:footnote w:id="3">
    <w:p w14:paraId="460E5F5D" w14:textId="6BC32420" w:rsidR="00864AEF" w:rsidRPr="00864AEF" w:rsidRDefault="00864AEF">
      <w:pPr>
        <w:pStyle w:val="Notedebasdepage"/>
        <w:rPr>
          <w:rFonts w:cs="Helvetica"/>
          <w:sz w:val="18"/>
        </w:rPr>
      </w:pPr>
      <w:r w:rsidRPr="00864AEF">
        <w:rPr>
          <w:rStyle w:val="Appelnotedebasdep"/>
          <w:rFonts w:cs="Helvetica"/>
          <w:sz w:val="18"/>
        </w:rPr>
        <w:footnoteRef/>
      </w:r>
      <w:r w:rsidRPr="00864AEF">
        <w:rPr>
          <w:rFonts w:cs="Helvetica"/>
          <w:sz w:val="18"/>
        </w:rPr>
        <w:t xml:space="preserve"> </w:t>
      </w:r>
      <w:hyperlink r:id="rId3">
        <w:r w:rsidRPr="00864AEF">
          <w:rPr>
            <w:rFonts w:eastAsia="Calibri" w:cs="Helvetica"/>
            <w:sz w:val="18"/>
            <w:lang w:eastAsia="en-US"/>
          </w:rPr>
          <w:t>https://www.gnu.org/philosophy/free-sw.en.html</w:t>
        </w:r>
      </w:hyperlink>
      <w:r w:rsidRPr="00864AEF">
        <w:rPr>
          <w:rFonts w:eastAsia="Calibri" w:cs="Helvetica"/>
          <w:sz w:val="18"/>
          <w:lang w:eastAsia="en-US"/>
        </w:rPr>
        <w:t xml:space="preserve"> </w:t>
      </w:r>
    </w:p>
  </w:footnote>
  <w:footnote w:id="4">
    <w:p w14:paraId="4EBF2310" w14:textId="3ADB26DA" w:rsidR="00864AEF" w:rsidRPr="00864AEF" w:rsidRDefault="00864AEF">
      <w:pPr>
        <w:pStyle w:val="Notedebasdepage"/>
        <w:rPr>
          <w:rFonts w:cs="Helvetica"/>
          <w:sz w:val="18"/>
        </w:rPr>
      </w:pPr>
      <w:r w:rsidRPr="00864AEF">
        <w:rPr>
          <w:rStyle w:val="Appelnotedebasdep"/>
          <w:rFonts w:cs="Helvetica"/>
          <w:sz w:val="18"/>
        </w:rPr>
        <w:footnoteRef/>
      </w:r>
      <w:r w:rsidRPr="00864AEF">
        <w:rPr>
          <w:rFonts w:cs="Helvetica"/>
          <w:sz w:val="18"/>
        </w:rPr>
        <w:t xml:space="preserve"> </w:t>
      </w:r>
      <w:hyperlink r:id="rId4">
        <w:r w:rsidRPr="00864AEF">
          <w:rPr>
            <w:rFonts w:eastAsia="Calibri" w:cs="Helvetica"/>
            <w:sz w:val="18"/>
            <w:lang w:eastAsia="en-US"/>
          </w:rPr>
          <w:t>https://opencontent.org/definition/</w:t>
        </w:r>
      </w:hyperlink>
      <w:r w:rsidRPr="00864AEF">
        <w:rPr>
          <w:rFonts w:eastAsia="Calibri" w:cs="Helvetica"/>
          <w:sz w:val="18"/>
          <w:lang w:eastAsia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7D29B" w14:textId="78B769D5" w:rsidR="007B20BA" w:rsidRDefault="007B20BA">
    <w:pPr>
      <w:pStyle w:val="En-tte"/>
    </w:pPr>
    <w:r w:rsidRPr="002C0F22">
      <w:rPr>
        <w:sz w:val="18"/>
        <w:szCs w:val="18"/>
      </w:rPr>
      <w:t>NTN Microtech Booster Open Innovation Programme | T</w:t>
    </w:r>
    <w:r>
      <w:rPr>
        <w:sz w:val="18"/>
        <w:szCs w:val="18"/>
      </w:rPr>
      <w:t>eam Project Contract, Appendix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838E9"/>
    <w:multiLevelType w:val="multilevel"/>
    <w:tmpl w:val="3BD25834"/>
    <w:styleLink w:val="LALIVEParagraphs"/>
    <w:lvl w:ilvl="0">
      <w:start w:val="1"/>
      <w:numFmt w:val="decimal"/>
      <w:lvlText w:val="%1."/>
      <w:lvlJc w:val="left"/>
      <w:pPr>
        <w:ind w:left="31" w:hanging="360"/>
      </w:pPr>
      <w:rPr>
        <w:rFonts w:hint="default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086464D"/>
    <w:multiLevelType w:val="multilevel"/>
    <w:tmpl w:val="6A98EA52"/>
    <w:styleLink w:val="WWNum31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" w15:restartNumberingAfterBreak="0">
    <w:nsid w:val="00D33D71"/>
    <w:multiLevelType w:val="multilevel"/>
    <w:tmpl w:val="949EEDC8"/>
    <w:styleLink w:val="WWNum7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" w15:restartNumberingAfterBreak="0">
    <w:nsid w:val="01D6143F"/>
    <w:multiLevelType w:val="multilevel"/>
    <w:tmpl w:val="E93661EC"/>
    <w:styleLink w:val="WWNum12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4" w15:restartNumberingAfterBreak="0">
    <w:nsid w:val="03EF07F4"/>
    <w:multiLevelType w:val="multilevel"/>
    <w:tmpl w:val="8D3471D8"/>
    <w:styleLink w:val="WWNum26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5" w15:restartNumberingAfterBreak="0">
    <w:nsid w:val="05507DDC"/>
    <w:multiLevelType w:val="multilevel"/>
    <w:tmpl w:val="48683A34"/>
    <w:styleLink w:val="WWNum34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6" w15:restartNumberingAfterBreak="0">
    <w:nsid w:val="10274D61"/>
    <w:multiLevelType w:val="multilevel"/>
    <w:tmpl w:val="E9BC89BC"/>
    <w:styleLink w:val="WWNum4"/>
    <w:lvl w:ilvl="0">
      <w:start w:val="1"/>
      <w:numFmt w:val="decimal"/>
      <w:pStyle w:val="COMINNOParagraph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7" w15:restartNumberingAfterBreak="0">
    <w:nsid w:val="10571472"/>
    <w:multiLevelType w:val="multilevel"/>
    <w:tmpl w:val="F7063FAC"/>
    <w:styleLink w:val="WWNum6"/>
    <w:lvl w:ilvl="0">
      <w:start w:val="1"/>
      <w:numFmt w:val="lowerLetter"/>
      <w:pStyle w:val="COMINNOList-a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14D7275D"/>
    <w:multiLevelType w:val="multilevel"/>
    <w:tmpl w:val="87AA0402"/>
    <w:styleLink w:val="WWNum13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9" w15:restartNumberingAfterBreak="0">
    <w:nsid w:val="14F826CD"/>
    <w:multiLevelType w:val="multilevel"/>
    <w:tmpl w:val="5F5A935C"/>
    <w:styleLink w:val="WWNum16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0" w15:restartNumberingAfterBreak="0">
    <w:nsid w:val="179B43B9"/>
    <w:multiLevelType w:val="multilevel"/>
    <w:tmpl w:val="8E5A9D06"/>
    <w:styleLink w:val="WWNum9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1D394378"/>
    <w:multiLevelType w:val="multilevel"/>
    <w:tmpl w:val="3474A2F8"/>
    <w:styleLink w:val="WWNum29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2" w15:restartNumberingAfterBreak="0">
    <w:nsid w:val="1D6B4B47"/>
    <w:multiLevelType w:val="multilevel"/>
    <w:tmpl w:val="64BE4950"/>
    <w:styleLink w:val="WWNum33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3" w15:restartNumberingAfterBreak="0">
    <w:nsid w:val="1DC00F60"/>
    <w:multiLevelType w:val="multilevel"/>
    <w:tmpl w:val="2A6CFE20"/>
    <w:lvl w:ilvl="0">
      <w:start w:val="1"/>
      <w:numFmt w:val="decimal"/>
      <w:lvlText w:val="%1."/>
      <w:lvlJc w:val="left"/>
      <w:pPr>
        <w:tabs>
          <w:tab w:val="num" w:pos="0"/>
        </w:tabs>
        <w:ind w:left="329" w:hanging="329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29" w:hanging="329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329" w:hanging="329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329" w:hanging="329"/>
      </w:pPr>
      <w:rPr>
        <w:rFonts w:ascii="Symbol" w:hAnsi="Symbol" w:cs="Symbol" w:hint="default"/>
      </w:rPr>
    </w:lvl>
    <w:lvl w:ilvl="4">
      <w:start w:val="1"/>
      <w:numFmt w:val="bullet"/>
      <w:lvlText w:val="˗"/>
      <w:lvlJc w:val="left"/>
      <w:pPr>
        <w:tabs>
          <w:tab w:val="num" w:pos="0"/>
        </w:tabs>
        <w:ind w:left="329" w:hanging="329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20DB1878"/>
    <w:multiLevelType w:val="multilevel"/>
    <w:tmpl w:val="BD0E6A98"/>
    <w:styleLink w:val="WWNum14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5" w15:restartNumberingAfterBreak="0">
    <w:nsid w:val="22F07B0D"/>
    <w:multiLevelType w:val="multilevel"/>
    <w:tmpl w:val="ED92C22A"/>
    <w:styleLink w:val="WWNum23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6" w15:restartNumberingAfterBreak="0">
    <w:nsid w:val="270F234F"/>
    <w:multiLevelType w:val="multilevel"/>
    <w:tmpl w:val="97BE03E8"/>
    <w:styleLink w:val="WWNum5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7" w15:restartNumberingAfterBreak="0">
    <w:nsid w:val="28272B15"/>
    <w:multiLevelType w:val="multilevel"/>
    <w:tmpl w:val="DE0ABF9E"/>
    <w:styleLink w:val="WWNum20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" w15:restartNumberingAfterBreak="0">
    <w:nsid w:val="2C7966A3"/>
    <w:multiLevelType w:val="multilevel"/>
    <w:tmpl w:val="82D46A74"/>
    <w:styleLink w:val="WWNum22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19" w15:restartNumberingAfterBreak="0">
    <w:nsid w:val="2F823CF5"/>
    <w:multiLevelType w:val="multilevel"/>
    <w:tmpl w:val="7EFCE960"/>
    <w:styleLink w:val="WWNum18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0" w15:restartNumberingAfterBreak="0">
    <w:nsid w:val="30100B7A"/>
    <w:multiLevelType w:val="multilevel"/>
    <w:tmpl w:val="01404106"/>
    <w:styleLink w:val="WWNum35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1" w15:restartNumberingAfterBreak="0">
    <w:nsid w:val="32E0679B"/>
    <w:multiLevelType w:val="multilevel"/>
    <w:tmpl w:val="F184FFE2"/>
    <w:styleLink w:val="WWNum8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2" w15:restartNumberingAfterBreak="0">
    <w:nsid w:val="39F819AE"/>
    <w:multiLevelType w:val="multilevel"/>
    <w:tmpl w:val="E138B65E"/>
    <w:styleLink w:val="WWNum24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3" w15:restartNumberingAfterBreak="0">
    <w:nsid w:val="3EED483D"/>
    <w:multiLevelType w:val="multilevel"/>
    <w:tmpl w:val="322AE522"/>
    <w:styleLink w:val="WWNum10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4" w15:restartNumberingAfterBreak="0">
    <w:nsid w:val="49E3423B"/>
    <w:multiLevelType w:val="multilevel"/>
    <w:tmpl w:val="0F268AAC"/>
    <w:styleLink w:val="WWNum21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5" w15:restartNumberingAfterBreak="0">
    <w:nsid w:val="4B663BE1"/>
    <w:multiLevelType w:val="multilevel"/>
    <w:tmpl w:val="E570B7E2"/>
    <w:styleLink w:val="WWNum30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6" w15:restartNumberingAfterBreak="0">
    <w:nsid w:val="4B972A8A"/>
    <w:multiLevelType w:val="multilevel"/>
    <w:tmpl w:val="578297EE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12" w:hanging="612"/>
      </w:pPr>
    </w:lvl>
    <w:lvl w:ilvl="2">
      <w:start w:val="1"/>
      <w:numFmt w:val="decimal"/>
      <w:lvlText w:val="%1.%2.%3"/>
      <w:lvlJc w:val="left"/>
      <w:pPr>
        <w:ind w:left="782" w:hanging="782"/>
      </w:pPr>
    </w:lvl>
    <w:lvl w:ilvl="3">
      <w:start w:val="1"/>
      <w:numFmt w:val="decimal"/>
      <w:lvlText w:val="%1.%2.%3.%4"/>
      <w:lvlJc w:val="left"/>
      <w:pPr>
        <w:ind w:left="964" w:hanging="9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none"/>
      <w:suff w:val="space"/>
      <w:lvlText w:val="%9"/>
      <w:lvlJc w:val="left"/>
    </w:lvl>
  </w:abstractNum>
  <w:abstractNum w:abstractNumId="27" w15:restartNumberingAfterBreak="0">
    <w:nsid w:val="5176672D"/>
    <w:multiLevelType w:val="multilevel"/>
    <w:tmpl w:val="E31C365A"/>
    <w:styleLink w:val="WWNum3"/>
    <w:lvl w:ilvl="0">
      <w:start w:val="1"/>
      <w:numFmt w:val="decimal"/>
      <w:pStyle w:val="COMINNOList-bullets"/>
      <w:lvlText w:val="%1"/>
      <w:lvlJc w:val="left"/>
      <w:pPr>
        <w:ind w:left="329" w:hanging="329"/>
      </w:pPr>
    </w:lvl>
    <w:lvl w:ilvl="1">
      <w:start w:val="1"/>
      <w:numFmt w:val="lowerLetter"/>
      <w:lvlText w:val="%1.%2"/>
      <w:lvlJc w:val="left"/>
      <w:pPr>
        <w:ind w:left="329" w:hanging="329"/>
      </w:pPr>
    </w:lvl>
    <w:lvl w:ilvl="2">
      <w:start w:val="1"/>
      <w:numFmt w:val="lowerRoman"/>
      <w:lvlText w:val="%1.%2.%3"/>
      <w:lvlJc w:val="left"/>
      <w:pPr>
        <w:ind w:left="329" w:hanging="329"/>
      </w:pPr>
    </w:lvl>
    <w:lvl w:ilvl="3">
      <w:numFmt w:val="bullet"/>
      <w:lvlText w:val=""/>
      <w:lvlJc w:val="left"/>
      <w:pPr>
        <w:ind w:left="329" w:hanging="329"/>
      </w:pPr>
      <w:rPr>
        <w:rFonts w:ascii="Symbol" w:hAnsi="Symbol"/>
      </w:rPr>
    </w:lvl>
    <w:lvl w:ilvl="4">
      <w:numFmt w:val="bullet"/>
      <w:lvlText w:val="˗"/>
      <w:lvlJc w:val="left"/>
      <w:pPr>
        <w:ind w:left="329" w:hanging="329"/>
      </w:pPr>
      <w:rPr>
        <w:rFonts w:ascii="Times New Roman" w:hAnsi="Times New Roman" w:cs="Times New Roman"/>
      </w:r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8" w15:restartNumberingAfterBreak="0">
    <w:nsid w:val="53800D1F"/>
    <w:multiLevelType w:val="multilevel"/>
    <w:tmpl w:val="FBFEF980"/>
    <w:styleLink w:val="WWNum15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29" w15:restartNumberingAfterBreak="0">
    <w:nsid w:val="53F11440"/>
    <w:multiLevelType w:val="multilevel"/>
    <w:tmpl w:val="34E46CF4"/>
    <w:styleLink w:val="WWNum17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0" w15:restartNumberingAfterBreak="0">
    <w:nsid w:val="61275CDC"/>
    <w:multiLevelType w:val="multilevel"/>
    <w:tmpl w:val="6A34B32A"/>
    <w:styleLink w:val="WWNum25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1" w15:restartNumberingAfterBreak="0">
    <w:nsid w:val="633B2CAB"/>
    <w:multiLevelType w:val="multilevel"/>
    <w:tmpl w:val="ADC86AE6"/>
    <w:styleLink w:val="WWNum19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2" w15:restartNumberingAfterBreak="0">
    <w:nsid w:val="68F25074"/>
    <w:multiLevelType w:val="multilevel"/>
    <w:tmpl w:val="78D05EB8"/>
    <w:styleLink w:val="WWNum28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3" w15:restartNumberingAfterBreak="0">
    <w:nsid w:val="6C107B7D"/>
    <w:multiLevelType w:val="multilevel"/>
    <w:tmpl w:val="611AA69A"/>
    <w:styleLink w:val="WWNum11"/>
    <w:lvl w:ilvl="0">
      <w:start w:val="1"/>
      <w:numFmt w:val="decimal"/>
      <w:lvlText w:val="%1"/>
      <w:lvlJc w:val="left"/>
      <w:pPr>
        <w:ind w:left="31" w:hanging="360"/>
      </w:pPr>
      <w:rPr>
        <w:sz w:val="18"/>
      </w:rPr>
    </w:lvl>
    <w:lvl w:ilvl="1">
      <w:start w:val="1"/>
      <w:numFmt w:val="lowerLetter"/>
      <w:lvlText w:val="%1.%2"/>
      <w:lvlJc w:val="left"/>
      <w:pPr>
        <w:ind w:left="720" w:hanging="360"/>
      </w:pPr>
    </w:lvl>
    <w:lvl w:ilvl="2">
      <w:start w:val="1"/>
      <w:numFmt w:val="lowerRoman"/>
      <w:lvlText w:val="%1.%2.%3"/>
      <w:lvlJc w:val="left"/>
      <w:pPr>
        <w:ind w:left="1080" w:hanging="360"/>
      </w:pPr>
    </w:lvl>
    <w:lvl w:ilvl="3">
      <w:start w:val="1"/>
      <w:numFmt w:val="decimal"/>
      <w:lvlText w:val="%1.%2.%3.%4"/>
      <w:lvlJc w:val="left"/>
      <w:pPr>
        <w:ind w:left="1440" w:hanging="360"/>
      </w:pPr>
    </w:lvl>
    <w:lvl w:ilvl="4">
      <w:start w:val="1"/>
      <w:numFmt w:val="lowerLetter"/>
      <w:lvlText w:val="%1.%2.%3.%4.%5"/>
      <w:lvlJc w:val="left"/>
      <w:pPr>
        <w:ind w:left="1800" w:hanging="360"/>
      </w:pPr>
    </w:lvl>
    <w:lvl w:ilvl="5">
      <w:start w:val="1"/>
      <w:numFmt w:val="lowerRoman"/>
      <w:lvlText w:val="%1.%2.%3.%4.%5.%6"/>
      <w:lvlJc w:val="left"/>
      <w:pPr>
        <w:ind w:left="2160" w:hanging="360"/>
      </w:pPr>
    </w:lvl>
    <w:lvl w:ilvl="6">
      <w:start w:val="1"/>
      <w:numFmt w:val="decimal"/>
      <w:lvlText w:val="%1.%2.%3.%4.%5.%6.%7"/>
      <w:lvlJc w:val="left"/>
      <w:pPr>
        <w:ind w:left="2520" w:hanging="360"/>
      </w:pPr>
    </w:lvl>
    <w:lvl w:ilvl="7">
      <w:start w:val="1"/>
      <w:numFmt w:val="lowerLetter"/>
      <w:lvlText w:val="%1.%2.%3.%4.%5.%6.%7.%8"/>
      <w:lvlJc w:val="left"/>
      <w:pPr>
        <w:ind w:left="2880" w:hanging="360"/>
      </w:pPr>
    </w:lvl>
    <w:lvl w:ilvl="8">
      <w:start w:val="1"/>
      <w:numFmt w:val="lowerRoman"/>
      <w:lvlText w:val="%1.%2.%3.%4.%5.%6.%7.%8.%9"/>
      <w:lvlJc w:val="left"/>
      <w:pPr>
        <w:ind w:left="3240" w:hanging="360"/>
      </w:pPr>
    </w:lvl>
  </w:abstractNum>
  <w:abstractNum w:abstractNumId="34" w15:restartNumberingAfterBreak="0">
    <w:nsid w:val="7C077C8A"/>
    <w:multiLevelType w:val="multilevel"/>
    <w:tmpl w:val="FBE40FE2"/>
    <w:styleLink w:val="WWNum27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5" w15:restartNumberingAfterBreak="0">
    <w:nsid w:val="7EFE24B3"/>
    <w:multiLevelType w:val="multilevel"/>
    <w:tmpl w:val="4E522E72"/>
    <w:styleLink w:val="WWNum32"/>
    <w:lvl w:ilvl="0">
      <w:start w:val="1"/>
      <w:numFmt w:val="lowerLetter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26"/>
  </w:num>
  <w:num w:numId="2">
    <w:abstractNumId w:val="6"/>
    <w:lvlOverride w:ilvl="0">
      <w:lvl w:ilvl="0">
        <w:start w:val="1"/>
        <w:numFmt w:val="decimal"/>
        <w:pStyle w:val="COMINNOParagraph"/>
        <w:lvlText w:val="%1"/>
        <w:lvlJc w:val="left"/>
        <w:pPr>
          <w:ind w:left="31" w:hanging="360"/>
        </w:pPr>
        <w:rPr>
          <w:b w:val="0"/>
          <w:i w:val="0"/>
          <w:sz w:val="18"/>
        </w:rPr>
      </w:lvl>
    </w:lvlOverride>
  </w:num>
  <w:num w:numId="3">
    <w:abstractNumId w:val="16"/>
  </w:num>
  <w:num w:numId="4">
    <w:abstractNumId w:val="7"/>
  </w:num>
  <w:num w:numId="5">
    <w:abstractNumId w:val="2"/>
  </w:num>
  <w:num w:numId="6">
    <w:abstractNumId w:val="27"/>
  </w:num>
  <w:num w:numId="7">
    <w:abstractNumId w:val="21"/>
  </w:num>
  <w:num w:numId="8">
    <w:abstractNumId w:val="10"/>
  </w:num>
  <w:num w:numId="9">
    <w:abstractNumId w:val="23"/>
  </w:num>
  <w:num w:numId="10">
    <w:abstractNumId w:val="33"/>
  </w:num>
  <w:num w:numId="11">
    <w:abstractNumId w:val="3"/>
  </w:num>
  <w:num w:numId="12">
    <w:abstractNumId w:val="8"/>
  </w:num>
  <w:num w:numId="13">
    <w:abstractNumId w:val="14"/>
  </w:num>
  <w:num w:numId="14">
    <w:abstractNumId w:val="28"/>
  </w:num>
  <w:num w:numId="15">
    <w:abstractNumId w:val="9"/>
  </w:num>
  <w:num w:numId="16">
    <w:abstractNumId w:val="29"/>
  </w:num>
  <w:num w:numId="17">
    <w:abstractNumId w:val="19"/>
  </w:num>
  <w:num w:numId="18">
    <w:abstractNumId w:val="31"/>
  </w:num>
  <w:num w:numId="19">
    <w:abstractNumId w:val="17"/>
  </w:num>
  <w:num w:numId="20">
    <w:abstractNumId w:val="24"/>
  </w:num>
  <w:num w:numId="21">
    <w:abstractNumId w:val="18"/>
  </w:num>
  <w:num w:numId="22">
    <w:abstractNumId w:val="15"/>
  </w:num>
  <w:num w:numId="23">
    <w:abstractNumId w:val="22"/>
  </w:num>
  <w:num w:numId="24">
    <w:abstractNumId w:val="30"/>
  </w:num>
  <w:num w:numId="25">
    <w:abstractNumId w:val="4"/>
  </w:num>
  <w:num w:numId="26">
    <w:abstractNumId w:val="34"/>
  </w:num>
  <w:num w:numId="27">
    <w:abstractNumId w:val="32"/>
  </w:num>
  <w:num w:numId="28">
    <w:abstractNumId w:val="11"/>
  </w:num>
  <w:num w:numId="29">
    <w:abstractNumId w:val="25"/>
  </w:num>
  <w:num w:numId="30">
    <w:abstractNumId w:val="1"/>
  </w:num>
  <w:num w:numId="31">
    <w:abstractNumId w:val="35"/>
  </w:num>
  <w:num w:numId="32">
    <w:abstractNumId w:val="12"/>
  </w:num>
  <w:num w:numId="33">
    <w:abstractNumId w:val="5"/>
  </w:num>
  <w:num w:numId="34">
    <w:abstractNumId w:val="20"/>
  </w:num>
  <w:num w:numId="35">
    <w:abstractNumId w:val="26"/>
    <w:lvlOverride w:ilvl="0">
      <w:startOverride w:val="1"/>
    </w:lvlOverride>
  </w:num>
  <w:num w:numId="36">
    <w:abstractNumId w:val="6"/>
    <w:lvlOverride w:ilvl="0">
      <w:startOverride w:val="1"/>
    </w:lvlOverride>
  </w:num>
  <w:num w:numId="37">
    <w:abstractNumId w:val="7"/>
    <w:lvlOverride w:ilvl="0">
      <w:startOverride w:val="1"/>
    </w:lvlOverride>
  </w:num>
  <w:num w:numId="38">
    <w:abstractNumId w:val="7"/>
    <w:lvlOverride w:ilvl="0">
      <w:startOverride w:val="1"/>
    </w:lvlOverride>
  </w:num>
  <w:num w:numId="39">
    <w:abstractNumId w:val="7"/>
    <w:lvlOverride w:ilvl="0">
      <w:startOverride w:val="1"/>
    </w:lvlOverride>
  </w:num>
  <w:num w:numId="40">
    <w:abstractNumId w:val="7"/>
    <w:lvlOverride w:ilvl="0">
      <w:startOverride w:val="1"/>
    </w:lvlOverride>
  </w:num>
  <w:num w:numId="41">
    <w:abstractNumId w:val="7"/>
    <w:lvlOverride w:ilvl="0">
      <w:startOverride w:val="1"/>
    </w:lvlOverride>
  </w:num>
  <w:num w:numId="42">
    <w:abstractNumId w:val="7"/>
    <w:lvlOverride w:ilvl="0">
      <w:startOverride w:val="1"/>
    </w:lvlOverride>
  </w:num>
  <w:num w:numId="43">
    <w:abstractNumId w:val="0"/>
  </w:num>
  <w:num w:numId="44">
    <w:abstractNumId w:val="0"/>
    <w:lvlOverride w:ilvl="0">
      <w:lvl w:ilvl="0">
        <w:start w:val="1"/>
        <w:numFmt w:val="decimal"/>
        <w:lvlText w:val="%1."/>
        <w:lvlJc w:val="left"/>
        <w:pPr>
          <w:ind w:left="31" w:hanging="360"/>
        </w:pPr>
        <w:rPr>
          <w:rFonts w:hint="default"/>
          <w:sz w:val="18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1" w:hanging="360"/>
        </w:pPr>
        <w:rPr>
          <w:rFonts w:hint="default"/>
          <w:sz w:val="18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>
    <w:abstractNumId w:val="13"/>
  </w:num>
  <w:num w:numId="47">
    <w:abstractNumId w:val="6"/>
  </w:num>
  <w:num w:numId="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>
      <w:lvl w:ilvl="0">
        <w:start w:val="1"/>
        <w:numFmt w:val="decimal"/>
        <w:pStyle w:val="COMINNOParagraph"/>
        <w:lvlText w:val="%1"/>
        <w:lvlJc w:val="left"/>
        <w:pPr>
          <w:ind w:left="31" w:hanging="360"/>
        </w:pPr>
        <w:rPr>
          <w:sz w:val="18"/>
        </w:rPr>
      </w:lvl>
    </w:lvlOverride>
    <w:lvlOverride w:ilvl="1">
      <w:lvl w:ilvl="1">
        <w:start w:val="1"/>
        <w:numFmt w:val="lowerLetter"/>
        <w:lvlText w:val="%1.%2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1.%2.%3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%1.%2.%3.%4.%5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%1.%2.%3.%4.%5.%6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1.%2.%3.%4.%5.%6.%7.%8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1.%2.%3.%4.%5.%6.%7.%8.%9"/>
        <w:lvlJc w:val="left"/>
        <w:pPr>
          <w:ind w:left="3240" w:hanging="360"/>
        </w:pPr>
      </w:lvl>
    </w:lvlOverride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entin Adler">
    <w15:presenceInfo w15:providerId="Windows Live" w15:userId="0e783db22938245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759"/>
    <w:rsid w:val="000015D6"/>
    <w:rsid w:val="00014E92"/>
    <w:rsid w:val="00016204"/>
    <w:rsid w:val="000358CC"/>
    <w:rsid w:val="000607AD"/>
    <w:rsid w:val="00061A5D"/>
    <w:rsid w:val="0006673C"/>
    <w:rsid w:val="000918FC"/>
    <w:rsid w:val="000931BA"/>
    <w:rsid w:val="000D1A19"/>
    <w:rsid w:val="001048FE"/>
    <w:rsid w:val="001127EE"/>
    <w:rsid w:val="00116CD1"/>
    <w:rsid w:val="00117E74"/>
    <w:rsid w:val="001204EF"/>
    <w:rsid w:val="00146261"/>
    <w:rsid w:val="001659F1"/>
    <w:rsid w:val="00166D87"/>
    <w:rsid w:val="001673F9"/>
    <w:rsid w:val="001747D8"/>
    <w:rsid w:val="00195007"/>
    <w:rsid w:val="0019556E"/>
    <w:rsid w:val="001A025D"/>
    <w:rsid w:val="001A31EE"/>
    <w:rsid w:val="001A58A0"/>
    <w:rsid w:val="001C7192"/>
    <w:rsid w:val="001E1EB6"/>
    <w:rsid w:val="001E5466"/>
    <w:rsid w:val="001F234A"/>
    <w:rsid w:val="00204581"/>
    <w:rsid w:val="00234DCC"/>
    <w:rsid w:val="00241A0D"/>
    <w:rsid w:val="00246025"/>
    <w:rsid w:val="0029433C"/>
    <w:rsid w:val="002A087D"/>
    <w:rsid w:val="002A4685"/>
    <w:rsid w:val="002C0F22"/>
    <w:rsid w:val="002C280D"/>
    <w:rsid w:val="002D0486"/>
    <w:rsid w:val="002D5B2E"/>
    <w:rsid w:val="00303E28"/>
    <w:rsid w:val="0031158C"/>
    <w:rsid w:val="0032578A"/>
    <w:rsid w:val="00330A47"/>
    <w:rsid w:val="00331642"/>
    <w:rsid w:val="003326AC"/>
    <w:rsid w:val="003358C4"/>
    <w:rsid w:val="00353CD6"/>
    <w:rsid w:val="00362D15"/>
    <w:rsid w:val="003650BC"/>
    <w:rsid w:val="00367F96"/>
    <w:rsid w:val="003721E8"/>
    <w:rsid w:val="0037236C"/>
    <w:rsid w:val="003C1F13"/>
    <w:rsid w:val="003C46CC"/>
    <w:rsid w:val="003F0106"/>
    <w:rsid w:val="004021D2"/>
    <w:rsid w:val="004204F3"/>
    <w:rsid w:val="00426744"/>
    <w:rsid w:val="00427F3C"/>
    <w:rsid w:val="00436714"/>
    <w:rsid w:val="00445462"/>
    <w:rsid w:val="004952F1"/>
    <w:rsid w:val="004A106A"/>
    <w:rsid w:val="004A7F6C"/>
    <w:rsid w:val="004B0749"/>
    <w:rsid w:val="004B0F0E"/>
    <w:rsid w:val="004B6F76"/>
    <w:rsid w:val="004C0EAB"/>
    <w:rsid w:val="004C3164"/>
    <w:rsid w:val="004D59A8"/>
    <w:rsid w:val="004D632A"/>
    <w:rsid w:val="004F19A4"/>
    <w:rsid w:val="004F577B"/>
    <w:rsid w:val="0051530F"/>
    <w:rsid w:val="005173C5"/>
    <w:rsid w:val="005273ED"/>
    <w:rsid w:val="0053767C"/>
    <w:rsid w:val="00543EF3"/>
    <w:rsid w:val="00547BB2"/>
    <w:rsid w:val="00553B44"/>
    <w:rsid w:val="005951D7"/>
    <w:rsid w:val="005B02C0"/>
    <w:rsid w:val="005E42B5"/>
    <w:rsid w:val="00617487"/>
    <w:rsid w:val="00632EDB"/>
    <w:rsid w:val="00636134"/>
    <w:rsid w:val="00641CFD"/>
    <w:rsid w:val="00643BF9"/>
    <w:rsid w:val="006650F2"/>
    <w:rsid w:val="006725B9"/>
    <w:rsid w:val="00673156"/>
    <w:rsid w:val="0067623D"/>
    <w:rsid w:val="00676864"/>
    <w:rsid w:val="006C51EE"/>
    <w:rsid w:val="006D13CB"/>
    <w:rsid w:val="006D387C"/>
    <w:rsid w:val="006D3B66"/>
    <w:rsid w:val="006F3911"/>
    <w:rsid w:val="00707B5E"/>
    <w:rsid w:val="00735B57"/>
    <w:rsid w:val="00741C6C"/>
    <w:rsid w:val="00743184"/>
    <w:rsid w:val="00745C2C"/>
    <w:rsid w:val="00773D24"/>
    <w:rsid w:val="00781416"/>
    <w:rsid w:val="00792AAE"/>
    <w:rsid w:val="007A7EEB"/>
    <w:rsid w:val="007B1467"/>
    <w:rsid w:val="007B20BA"/>
    <w:rsid w:val="007C6B0F"/>
    <w:rsid w:val="007E28D9"/>
    <w:rsid w:val="007E50AF"/>
    <w:rsid w:val="00801EDD"/>
    <w:rsid w:val="0083168D"/>
    <w:rsid w:val="00853E7A"/>
    <w:rsid w:val="008557B6"/>
    <w:rsid w:val="00864AEF"/>
    <w:rsid w:val="00870D67"/>
    <w:rsid w:val="008A6B74"/>
    <w:rsid w:val="008C7490"/>
    <w:rsid w:val="008D3770"/>
    <w:rsid w:val="008E3398"/>
    <w:rsid w:val="00901331"/>
    <w:rsid w:val="00912055"/>
    <w:rsid w:val="00924E10"/>
    <w:rsid w:val="009338CC"/>
    <w:rsid w:val="00943748"/>
    <w:rsid w:val="00987E51"/>
    <w:rsid w:val="00992845"/>
    <w:rsid w:val="00993D92"/>
    <w:rsid w:val="00996129"/>
    <w:rsid w:val="009B22D7"/>
    <w:rsid w:val="009B36D2"/>
    <w:rsid w:val="009B4107"/>
    <w:rsid w:val="009D6E25"/>
    <w:rsid w:val="009E7759"/>
    <w:rsid w:val="009F24FB"/>
    <w:rsid w:val="00A05208"/>
    <w:rsid w:val="00A06B46"/>
    <w:rsid w:val="00A2653C"/>
    <w:rsid w:val="00A31B1D"/>
    <w:rsid w:val="00A42611"/>
    <w:rsid w:val="00A43CBD"/>
    <w:rsid w:val="00A6144F"/>
    <w:rsid w:val="00A814E0"/>
    <w:rsid w:val="00AB02C0"/>
    <w:rsid w:val="00AB6206"/>
    <w:rsid w:val="00AB791B"/>
    <w:rsid w:val="00AC4A27"/>
    <w:rsid w:val="00AC6FF1"/>
    <w:rsid w:val="00AD0755"/>
    <w:rsid w:val="00AD0E30"/>
    <w:rsid w:val="00AF262F"/>
    <w:rsid w:val="00B029D6"/>
    <w:rsid w:val="00B1315E"/>
    <w:rsid w:val="00B170C4"/>
    <w:rsid w:val="00B1736D"/>
    <w:rsid w:val="00B21C2A"/>
    <w:rsid w:val="00B3081E"/>
    <w:rsid w:val="00B37456"/>
    <w:rsid w:val="00B527FD"/>
    <w:rsid w:val="00B6134D"/>
    <w:rsid w:val="00B848F3"/>
    <w:rsid w:val="00B95897"/>
    <w:rsid w:val="00BB186B"/>
    <w:rsid w:val="00BC436E"/>
    <w:rsid w:val="00BD2E01"/>
    <w:rsid w:val="00BF6A42"/>
    <w:rsid w:val="00C1238A"/>
    <w:rsid w:val="00C1341B"/>
    <w:rsid w:val="00C2171A"/>
    <w:rsid w:val="00C22E63"/>
    <w:rsid w:val="00C445F7"/>
    <w:rsid w:val="00C46EA3"/>
    <w:rsid w:val="00C650F0"/>
    <w:rsid w:val="00CA183D"/>
    <w:rsid w:val="00CC2F18"/>
    <w:rsid w:val="00CC6BDD"/>
    <w:rsid w:val="00CE3138"/>
    <w:rsid w:val="00CE5EA3"/>
    <w:rsid w:val="00CF69C0"/>
    <w:rsid w:val="00D0018A"/>
    <w:rsid w:val="00D12B6B"/>
    <w:rsid w:val="00D602A7"/>
    <w:rsid w:val="00DB2264"/>
    <w:rsid w:val="00DD10DA"/>
    <w:rsid w:val="00DD5E5D"/>
    <w:rsid w:val="00DE77DF"/>
    <w:rsid w:val="00DF23D1"/>
    <w:rsid w:val="00E10F81"/>
    <w:rsid w:val="00E21804"/>
    <w:rsid w:val="00E315B5"/>
    <w:rsid w:val="00E53105"/>
    <w:rsid w:val="00E92600"/>
    <w:rsid w:val="00EA0A21"/>
    <w:rsid w:val="00EA320A"/>
    <w:rsid w:val="00EA5404"/>
    <w:rsid w:val="00EB2D60"/>
    <w:rsid w:val="00EC0D8E"/>
    <w:rsid w:val="00EE3C73"/>
    <w:rsid w:val="00F17F30"/>
    <w:rsid w:val="00F2647F"/>
    <w:rsid w:val="00F37B6D"/>
    <w:rsid w:val="00F52965"/>
    <w:rsid w:val="00F55CAF"/>
    <w:rsid w:val="00F76E85"/>
    <w:rsid w:val="00F77A09"/>
    <w:rsid w:val="00F938C2"/>
    <w:rsid w:val="00FC3097"/>
    <w:rsid w:val="00FD6CB0"/>
    <w:rsid w:val="00FD6E29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5AA73D"/>
  <w15:docId w15:val="{D86B5AC3-7770-4250-AF56-FA06B084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="Noto Serif CJK SC" w:hAnsi="Helvetica" w:cs="Lohit Devanagari"/>
        <w:kern w:val="3"/>
        <w:sz w:val="21"/>
        <w:szCs w:val="21"/>
        <w:lang w:val="en-GB" w:eastAsia="zh-CN" w:bidi="hi-IN"/>
      </w:rPr>
    </w:rPrDefault>
    <w:pPrDefault>
      <w:pPr>
        <w:suppressAutoHyphens/>
        <w:autoSpaceDN w:val="0"/>
        <w:spacing w:line="360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5F7"/>
  </w:style>
  <w:style w:type="paragraph" w:styleId="Titre1">
    <w:name w:val="heading 1"/>
    <w:basedOn w:val="Heading"/>
    <w:next w:val="Textbody"/>
    <w:locked/>
    <w:pPr>
      <w:outlineLvl w:val="0"/>
    </w:pPr>
    <w:rPr>
      <w:b/>
      <w:bCs/>
    </w:rPr>
  </w:style>
  <w:style w:type="paragraph" w:styleId="Titre2">
    <w:name w:val="heading 2"/>
    <w:basedOn w:val="Heading"/>
    <w:next w:val="Textbody"/>
    <w:locked/>
    <w:pPr>
      <w:spacing w:before="200"/>
      <w:outlineLvl w:val="1"/>
    </w:pPr>
    <w:rPr>
      <w:b/>
      <w:bCs/>
    </w:rPr>
  </w:style>
  <w:style w:type="paragraph" w:styleId="Titre3">
    <w:name w:val="heading 3"/>
    <w:basedOn w:val="Heading"/>
    <w:next w:val="Textbody"/>
    <w:locked/>
    <w:pPr>
      <w:spacing w:before="140"/>
      <w:outlineLvl w:val="2"/>
    </w:pPr>
    <w:rPr>
      <w:b/>
      <w:bCs/>
    </w:rPr>
  </w:style>
  <w:style w:type="paragraph" w:styleId="Titre4">
    <w:name w:val="heading 4"/>
    <w:basedOn w:val="Heading"/>
    <w:next w:val="Textbody"/>
    <w:locked/>
    <w:pPr>
      <w:spacing w:before="120"/>
      <w:outlineLvl w:val="3"/>
    </w:pPr>
    <w:rPr>
      <w:b/>
      <w:bCs/>
      <w:i/>
      <w:iCs/>
    </w:rPr>
  </w:style>
  <w:style w:type="paragraph" w:styleId="Titre5">
    <w:name w:val="heading 5"/>
    <w:basedOn w:val="Heading"/>
    <w:next w:val="Textbody"/>
    <w:locked/>
    <w:pPr>
      <w:spacing w:before="120" w:after="60"/>
      <w:outlineLvl w:val="4"/>
    </w:pPr>
    <w:rPr>
      <w:b/>
      <w:bCs/>
    </w:rPr>
  </w:style>
  <w:style w:type="paragraph" w:styleId="Titre6">
    <w:name w:val="heading 6"/>
    <w:basedOn w:val="Heading"/>
    <w:next w:val="Textbody"/>
    <w:locked/>
    <w:pPr>
      <w:spacing w:before="60" w:after="60"/>
      <w:outlineLvl w:val="5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locked/>
  </w:style>
  <w:style w:type="paragraph" w:customStyle="1" w:styleId="Heading">
    <w:name w:val="Heading"/>
    <w:basedOn w:val="Standard"/>
    <w:next w:val="Textbody"/>
    <w:locked/>
    <w:pPr>
      <w:keepNext/>
      <w:spacing w:before="240" w:after="120"/>
    </w:pPr>
    <w:rPr>
      <w:rFonts w:eastAsia="Noto Sans CJK SC"/>
      <w:sz w:val="28"/>
      <w:szCs w:val="28"/>
    </w:rPr>
  </w:style>
  <w:style w:type="paragraph" w:customStyle="1" w:styleId="Textbody">
    <w:name w:val="Text body"/>
    <w:basedOn w:val="Standard"/>
    <w:locked/>
    <w:pPr>
      <w:spacing w:after="140" w:line="276" w:lineRule="auto"/>
    </w:pPr>
  </w:style>
  <w:style w:type="paragraph" w:styleId="Liste">
    <w:name w:val="List"/>
    <w:basedOn w:val="Textbody"/>
    <w:locked/>
    <w:rPr>
      <w:rFonts w:eastAsia="Ubuntu Mono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eastAsia="Ubuntu Mono"/>
      <w:i/>
      <w:iCs/>
      <w:sz w:val="24"/>
    </w:rPr>
  </w:style>
  <w:style w:type="paragraph" w:customStyle="1" w:styleId="Index">
    <w:name w:val="Index"/>
    <w:basedOn w:val="Standard"/>
    <w:locked/>
    <w:pPr>
      <w:suppressLineNumbers/>
    </w:pPr>
    <w:rPr>
      <w:rFonts w:eastAsia="Ubuntu Mono"/>
      <w:sz w:val="24"/>
    </w:rPr>
  </w:style>
  <w:style w:type="paragraph" w:customStyle="1" w:styleId="COMINNOText">
    <w:name w:val="COMINNO_Text"/>
    <w:rsid w:val="00C445F7"/>
    <w:pPr>
      <w:suppressAutoHyphens w:val="0"/>
      <w:spacing w:after="200" w:line="320" w:lineRule="exact"/>
      <w:jc w:val="both"/>
    </w:pPr>
    <w:rPr>
      <w:rFonts w:eastAsia="F" w:cs="Times New Roman"/>
      <w:sz w:val="23"/>
      <w:szCs w:val="23"/>
      <w:lang w:eastAsia="de-DE"/>
    </w:rPr>
  </w:style>
  <w:style w:type="paragraph" w:customStyle="1" w:styleId="COMINNOTitle">
    <w:name w:val="COMINNO_Title"/>
    <w:basedOn w:val="COMINNOText"/>
    <w:next w:val="COMINNOText"/>
    <w:pPr>
      <w:keepNext/>
      <w:keepLines/>
      <w:spacing w:before="320"/>
    </w:pPr>
    <w:rPr>
      <w:rFonts w:eastAsia="Helvetica" w:cs="Helvetica"/>
      <w:b/>
      <w:caps/>
      <w:spacing w:val="12"/>
    </w:rPr>
  </w:style>
  <w:style w:type="paragraph" w:customStyle="1" w:styleId="COMINNOHeading1">
    <w:name w:val="COMINNO_Heading 1"/>
    <w:basedOn w:val="COMINNOText"/>
    <w:next w:val="Standard"/>
    <w:pPr>
      <w:keepNext/>
      <w:keepLines/>
      <w:spacing w:before="320"/>
      <w:outlineLvl w:val="0"/>
    </w:pPr>
    <w:rPr>
      <w:rFonts w:eastAsia="Helvetica" w:cs="Helvetica"/>
      <w:b/>
      <w:spacing w:val="12"/>
    </w:rPr>
  </w:style>
  <w:style w:type="paragraph" w:customStyle="1" w:styleId="COMINNOParagraph">
    <w:name w:val="COMINNO_Paragraph"/>
    <w:basedOn w:val="COMINNOText"/>
    <w:qFormat/>
    <w:pPr>
      <w:numPr>
        <w:numId w:val="2"/>
      </w:numPr>
    </w:pPr>
    <w:rPr>
      <w:rFonts w:eastAsia="Helvetica" w:cs="Helvetica"/>
    </w:rPr>
  </w:style>
  <w:style w:type="paragraph" w:customStyle="1" w:styleId="COMINNOTextNoSpacing">
    <w:name w:val="COMINNO_Text No Spacing"/>
    <w:basedOn w:val="COMINNOText"/>
    <w:rsid w:val="00C445F7"/>
  </w:style>
  <w:style w:type="paragraph" w:customStyle="1" w:styleId="COMINNOList-a">
    <w:name w:val="COMINNO_List- a"/>
    <w:basedOn w:val="COMINNOText"/>
    <w:qFormat/>
    <w:pPr>
      <w:numPr>
        <w:numId w:val="4"/>
      </w:numPr>
      <w:spacing w:before="120" w:after="120"/>
    </w:pPr>
    <w:rPr>
      <w:rFonts w:eastAsia="Helvetica" w:cs="Helvetica"/>
    </w:rPr>
  </w:style>
  <w:style w:type="paragraph" w:customStyle="1" w:styleId="COMINNOList-bullets">
    <w:name w:val="COMINNO_List- bullets"/>
    <w:basedOn w:val="COMINNOList-a"/>
    <w:pPr>
      <w:numPr>
        <w:numId w:val="6"/>
      </w:numPr>
    </w:pPr>
  </w:style>
  <w:style w:type="paragraph" w:customStyle="1" w:styleId="COMINNOSubtitle">
    <w:name w:val="COMINNO_Subtitle"/>
    <w:basedOn w:val="COMINNOText"/>
    <w:next w:val="COMINNOText"/>
    <w:pPr>
      <w:spacing w:before="320"/>
    </w:pPr>
    <w:rPr>
      <w:rFonts w:eastAsia="Helvetica" w:cs="Helvetica"/>
      <w:i/>
    </w:rPr>
  </w:style>
  <w:style w:type="character" w:customStyle="1" w:styleId="ListLabel3">
    <w:name w:val="ListLabel 3"/>
    <w:locked/>
    <w:rPr>
      <w:sz w:val="18"/>
    </w:rPr>
  </w:style>
  <w:style w:type="character" w:customStyle="1" w:styleId="ListLabel4">
    <w:name w:val="ListLabel 4"/>
    <w:locked/>
    <w:rPr>
      <w:sz w:val="18"/>
    </w:rPr>
  </w:style>
  <w:style w:type="character" w:customStyle="1" w:styleId="ListLabel5">
    <w:name w:val="ListLabel 5"/>
    <w:locked/>
    <w:rPr>
      <w:sz w:val="18"/>
    </w:rPr>
  </w:style>
  <w:style w:type="character" w:customStyle="1" w:styleId="ListLabel2">
    <w:name w:val="ListLabel 2"/>
    <w:locked/>
    <w:rPr>
      <w:rFonts w:cs="Times New Roman"/>
    </w:rPr>
  </w:style>
  <w:style w:type="character" w:customStyle="1" w:styleId="ListLabel6">
    <w:name w:val="ListLabel 6"/>
    <w:locked/>
    <w:rPr>
      <w:sz w:val="18"/>
    </w:rPr>
  </w:style>
  <w:style w:type="character" w:customStyle="1" w:styleId="ListLabel7">
    <w:name w:val="ListLabel 7"/>
    <w:locked/>
    <w:rPr>
      <w:sz w:val="18"/>
    </w:rPr>
  </w:style>
  <w:style w:type="character" w:customStyle="1" w:styleId="ListLabel8">
    <w:name w:val="ListLabel 8"/>
    <w:locked/>
    <w:rPr>
      <w:sz w:val="18"/>
    </w:rPr>
  </w:style>
  <w:style w:type="character" w:customStyle="1" w:styleId="ListLabel9">
    <w:name w:val="ListLabel 9"/>
    <w:locked/>
    <w:rPr>
      <w:sz w:val="18"/>
    </w:rPr>
  </w:style>
  <w:style w:type="character" w:customStyle="1" w:styleId="ListLabel10">
    <w:name w:val="ListLabel 10"/>
    <w:locked/>
    <w:rPr>
      <w:sz w:val="18"/>
    </w:rPr>
  </w:style>
  <w:style w:type="character" w:customStyle="1" w:styleId="ListLabel11">
    <w:name w:val="ListLabel 11"/>
    <w:locked/>
    <w:rPr>
      <w:sz w:val="18"/>
    </w:rPr>
  </w:style>
  <w:style w:type="character" w:customStyle="1" w:styleId="ListLabel12">
    <w:name w:val="ListLabel 12"/>
    <w:locked/>
    <w:rPr>
      <w:sz w:val="18"/>
    </w:rPr>
  </w:style>
  <w:style w:type="character" w:customStyle="1" w:styleId="ListLabel13">
    <w:name w:val="ListLabel 13"/>
    <w:locked/>
    <w:rPr>
      <w:sz w:val="18"/>
    </w:rPr>
  </w:style>
  <w:style w:type="character" w:customStyle="1" w:styleId="ListLabel14">
    <w:name w:val="ListLabel 14"/>
    <w:locked/>
    <w:rPr>
      <w:sz w:val="18"/>
    </w:rPr>
  </w:style>
  <w:style w:type="character" w:customStyle="1" w:styleId="ListLabel15">
    <w:name w:val="ListLabel 15"/>
    <w:locked/>
    <w:rPr>
      <w:sz w:val="18"/>
    </w:rPr>
  </w:style>
  <w:style w:type="character" w:customStyle="1" w:styleId="ListLabel16">
    <w:name w:val="ListLabel 16"/>
    <w:locked/>
    <w:rPr>
      <w:sz w:val="18"/>
    </w:rPr>
  </w:style>
  <w:style w:type="character" w:customStyle="1" w:styleId="ListLabel17">
    <w:name w:val="ListLabel 17"/>
    <w:locked/>
    <w:rPr>
      <w:sz w:val="18"/>
    </w:rPr>
  </w:style>
  <w:style w:type="character" w:customStyle="1" w:styleId="ListLabel18">
    <w:name w:val="ListLabel 18"/>
    <w:locked/>
    <w:rPr>
      <w:sz w:val="18"/>
    </w:rPr>
  </w:style>
  <w:style w:type="character" w:customStyle="1" w:styleId="ListLabel19">
    <w:name w:val="ListLabel 19"/>
    <w:locked/>
    <w:rPr>
      <w:sz w:val="18"/>
    </w:rPr>
  </w:style>
  <w:style w:type="character" w:customStyle="1" w:styleId="ListLabel20">
    <w:name w:val="ListLabel 20"/>
    <w:locked/>
    <w:rPr>
      <w:sz w:val="18"/>
    </w:rPr>
  </w:style>
  <w:style w:type="character" w:customStyle="1" w:styleId="ListLabel21">
    <w:name w:val="ListLabel 21"/>
    <w:locked/>
    <w:rPr>
      <w:sz w:val="18"/>
    </w:rPr>
  </w:style>
  <w:style w:type="character" w:customStyle="1" w:styleId="ListLabel22">
    <w:name w:val="ListLabel 22"/>
    <w:locked/>
    <w:rPr>
      <w:sz w:val="18"/>
    </w:rPr>
  </w:style>
  <w:style w:type="character" w:customStyle="1" w:styleId="ListLabel23">
    <w:name w:val="ListLabel 23"/>
    <w:locked/>
    <w:rPr>
      <w:sz w:val="18"/>
    </w:rPr>
  </w:style>
  <w:style w:type="character" w:customStyle="1" w:styleId="ListLabel24">
    <w:name w:val="ListLabel 24"/>
    <w:locked/>
    <w:rPr>
      <w:sz w:val="18"/>
    </w:rPr>
  </w:style>
  <w:style w:type="character" w:customStyle="1" w:styleId="ListLabel25">
    <w:name w:val="ListLabel 25"/>
    <w:locked/>
    <w:rPr>
      <w:sz w:val="18"/>
    </w:rPr>
  </w:style>
  <w:style w:type="character" w:customStyle="1" w:styleId="ListLabel26">
    <w:name w:val="ListLabel 26"/>
    <w:locked/>
    <w:rPr>
      <w:sz w:val="18"/>
    </w:rPr>
  </w:style>
  <w:style w:type="character" w:customStyle="1" w:styleId="ListLabel27">
    <w:name w:val="ListLabel 27"/>
    <w:locked/>
    <w:rPr>
      <w:sz w:val="18"/>
    </w:rPr>
  </w:style>
  <w:style w:type="numbering" w:customStyle="1" w:styleId="WWNum2">
    <w:name w:val="WWNum2"/>
    <w:basedOn w:val="Aucuneliste"/>
    <w:locked/>
    <w:pPr>
      <w:numPr>
        <w:numId w:val="1"/>
      </w:numPr>
    </w:pPr>
  </w:style>
  <w:style w:type="numbering" w:customStyle="1" w:styleId="WWNum4">
    <w:name w:val="WWNum4"/>
    <w:basedOn w:val="Aucuneliste"/>
    <w:locked/>
    <w:pPr>
      <w:numPr>
        <w:numId w:val="47"/>
      </w:numPr>
    </w:pPr>
  </w:style>
  <w:style w:type="numbering" w:customStyle="1" w:styleId="WWNum5">
    <w:name w:val="WWNum5"/>
    <w:basedOn w:val="Aucuneliste"/>
    <w:locked/>
    <w:pPr>
      <w:numPr>
        <w:numId w:val="3"/>
      </w:numPr>
    </w:pPr>
  </w:style>
  <w:style w:type="numbering" w:customStyle="1" w:styleId="WWNum6">
    <w:name w:val="WWNum6"/>
    <w:basedOn w:val="Aucuneliste"/>
    <w:locked/>
    <w:pPr>
      <w:numPr>
        <w:numId w:val="4"/>
      </w:numPr>
    </w:pPr>
  </w:style>
  <w:style w:type="numbering" w:customStyle="1" w:styleId="WWNum7">
    <w:name w:val="WWNum7"/>
    <w:basedOn w:val="Aucuneliste"/>
    <w:locked/>
    <w:pPr>
      <w:numPr>
        <w:numId w:val="5"/>
      </w:numPr>
    </w:pPr>
  </w:style>
  <w:style w:type="numbering" w:customStyle="1" w:styleId="WWNum3">
    <w:name w:val="WWNum3"/>
    <w:basedOn w:val="Aucuneliste"/>
    <w:locked/>
    <w:pPr>
      <w:numPr>
        <w:numId w:val="6"/>
      </w:numPr>
    </w:pPr>
  </w:style>
  <w:style w:type="numbering" w:customStyle="1" w:styleId="WWNum8">
    <w:name w:val="WWNum8"/>
    <w:basedOn w:val="Aucuneliste"/>
    <w:locked/>
    <w:pPr>
      <w:numPr>
        <w:numId w:val="7"/>
      </w:numPr>
    </w:pPr>
  </w:style>
  <w:style w:type="numbering" w:customStyle="1" w:styleId="WWNum9">
    <w:name w:val="WWNum9"/>
    <w:basedOn w:val="Aucuneliste"/>
    <w:locked/>
    <w:pPr>
      <w:numPr>
        <w:numId w:val="8"/>
      </w:numPr>
    </w:pPr>
  </w:style>
  <w:style w:type="numbering" w:customStyle="1" w:styleId="WWNum10">
    <w:name w:val="WWNum10"/>
    <w:basedOn w:val="Aucuneliste"/>
    <w:locked/>
    <w:pPr>
      <w:numPr>
        <w:numId w:val="9"/>
      </w:numPr>
    </w:pPr>
  </w:style>
  <w:style w:type="numbering" w:customStyle="1" w:styleId="WWNum11">
    <w:name w:val="WWNum11"/>
    <w:basedOn w:val="Aucuneliste"/>
    <w:locked/>
    <w:pPr>
      <w:numPr>
        <w:numId w:val="10"/>
      </w:numPr>
    </w:pPr>
  </w:style>
  <w:style w:type="numbering" w:customStyle="1" w:styleId="WWNum12">
    <w:name w:val="WWNum12"/>
    <w:basedOn w:val="Aucuneliste"/>
    <w:locked/>
    <w:pPr>
      <w:numPr>
        <w:numId w:val="11"/>
      </w:numPr>
    </w:pPr>
  </w:style>
  <w:style w:type="numbering" w:customStyle="1" w:styleId="WWNum13">
    <w:name w:val="WWNum13"/>
    <w:basedOn w:val="Aucuneliste"/>
    <w:locked/>
    <w:pPr>
      <w:numPr>
        <w:numId w:val="12"/>
      </w:numPr>
    </w:pPr>
  </w:style>
  <w:style w:type="numbering" w:customStyle="1" w:styleId="WWNum14">
    <w:name w:val="WWNum14"/>
    <w:basedOn w:val="Aucuneliste"/>
    <w:locked/>
    <w:pPr>
      <w:numPr>
        <w:numId w:val="13"/>
      </w:numPr>
    </w:pPr>
  </w:style>
  <w:style w:type="numbering" w:customStyle="1" w:styleId="WWNum15">
    <w:name w:val="WWNum15"/>
    <w:basedOn w:val="Aucuneliste"/>
    <w:locked/>
    <w:pPr>
      <w:numPr>
        <w:numId w:val="14"/>
      </w:numPr>
    </w:pPr>
  </w:style>
  <w:style w:type="numbering" w:customStyle="1" w:styleId="WWNum16">
    <w:name w:val="WWNum16"/>
    <w:basedOn w:val="Aucuneliste"/>
    <w:locked/>
    <w:pPr>
      <w:numPr>
        <w:numId w:val="15"/>
      </w:numPr>
    </w:pPr>
  </w:style>
  <w:style w:type="numbering" w:customStyle="1" w:styleId="WWNum17">
    <w:name w:val="WWNum17"/>
    <w:basedOn w:val="Aucuneliste"/>
    <w:locked/>
    <w:pPr>
      <w:numPr>
        <w:numId w:val="16"/>
      </w:numPr>
    </w:pPr>
  </w:style>
  <w:style w:type="numbering" w:customStyle="1" w:styleId="WWNum18">
    <w:name w:val="WWNum18"/>
    <w:basedOn w:val="Aucuneliste"/>
    <w:locked/>
    <w:pPr>
      <w:numPr>
        <w:numId w:val="17"/>
      </w:numPr>
    </w:pPr>
  </w:style>
  <w:style w:type="numbering" w:customStyle="1" w:styleId="WWNum19">
    <w:name w:val="WWNum19"/>
    <w:basedOn w:val="Aucuneliste"/>
    <w:locked/>
    <w:pPr>
      <w:numPr>
        <w:numId w:val="18"/>
      </w:numPr>
    </w:pPr>
  </w:style>
  <w:style w:type="numbering" w:customStyle="1" w:styleId="WWNum20">
    <w:name w:val="WWNum20"/>
    <w:basedOn w:val="Aucuneliste"/>
    <w:locked/>
    <w:pPr>
      <w:numPr>
        <w:numId w:val="19"/>
      </w:numPr>
    </w:pPr>
  </w:style>
  <w:style w:type="numbering" w:customStyle="1" w:styleId="WWNum21">
    <w:name w:val="WWNum21"/>
    <w:basedOn w:val="Aucuneliste"/>
    <w:locked/>
    <w:pPr>
      <w:numPr>
        <w:numId w:val="20"/>
      </w:numPr>
    </w:pPr>
  </w:style>
  <w:style w:type="numbering" w:customStyle="1" w:styleId="WWNum22">
    <w:name w:val="WWNum22"/>
    <w:basedOn w:val="Aucuneliste"/>
    <w:locked/>
    <w:pPr>
      <w:numPr>
        <w:numId w:val="21"/>
      </w:numPr>
    </w:pPr>
  </w:style>
  <w:style w:type="numbering" w:customStyle="1" w:styleId="WWNum23">
    <w:name w:val="WWNum23"/>
    <w:basedOn w:val="Aucuneliste"/>
    <w:locked/>
    <w:pPr>
      <w:numPr>
        <w:numId w:val="22"/>
      </w:numPr>
    </w:pPr>
  </w:style>
  <w:style w:type="numbering" w:customStyle="1" w:styleId="WWNum24">
    <w:name w:val="WWNum24"/>
    <w:basedOn w:val="Aucuneliste"/>
    <w:locked/>
    <w:pPr>
      <w:numPr>
        <w:numId w:val="23"/>
      </w:numPr>
    </w:pPr>
  </w:style>
  <w:style w:type="numbering" w:customStyle="1" w:styleId="WWNum25">
    <w:name w:val="WWNum25"/>
    <w:basedOn w:val="Aucuneliste"/>
    <w:locked/>
    <w:pPr>
      <w:numPr>
        <w:numId w:val="24"/>
      </w:numPr>
    </w:pPr>
  </w:style>
  <w:style w:type="numbering" w:customStyle="1" w:styleId="WWNum26">
    <w:name w:val="WWNum26"/>
    <w:basedOn w:val="Aucuneliste"/>
    <w:locked/>
    <w:pPr>
      <w:numPr>
        <w:numId w:val="25"/>
      </w:numPr>
    </w:pPr>
  </w:style>
  <w:style w:type="numbering" w:customStyle="1" w:styleId="WWNum27">
    <w:name w:val="WWNum27"/>
    <w:basedOn w:val="Aucuneliste"/>
    <w:locked/>
    <w:pPr>
      <w:numPr>
        <w:numId w:val="26"/>
      </w:numPr>
    </w:pPr>
  </w:style>
  <w:style w:type="numbering" w:customStyle="1" w:styleId="WWNum28">
    <w:name w:val="WWNum28"/>
    <w:basedOn w:val="Aucuneliste"/>
    <w:locked/>
    <w:pPr>
      <w:numPr>
        <w:numId w:val="27"/>
      </w:numPr>
    </w:pPr>
  </w:style>
  <w:style w:type="numbering" w:customStyle="1" w:styleId="WWNum29">
    <w:name w:val="WWNum29"/>
    <w:basedOn w:val="Aucuneliste"/>
    <w:locked/>
    <w:pPr>
      <w:numPr>
        <w:numId w:val="28"/>
      </w:numPr>
    </w:pPr>
  </w:style>
  <w:style w:type="numbering" w:customStyle="1" w:styleId="WWNum30">
    <w:name w:val="WWNum30"/>
    <w:basedOn w:val="Aucuneliste"/>
    <w:locked/>
    <w:pPr>
      <w:numPr>
        <w:numId w:val="29"/>
      </w:numPr>
    </w:pPr>
  </w:style>
  <w:style w:type="numbering" w:customStyle="1" w:styleId="WWNum31">
    <w:name w:val="WWNum31"/>
    <w:basedOn w:val="Aucuneliste"/>
    <w:locked/>
    <w:pPr>
      <w:numPr>
        <w:numId w:val="30"/>
      </w:numPr>
    </w:pPr>
  </w:style>
  <w:style w:type="numbering" w:customStyle="1" w:styleId="WWNum32">
    <w:name w:val="WWNum32"/>
    <w:basedOn w:val="Aucuneliste"/>
    <w:locked/>
    <w:pPr>
      <w:numPr>
        <w:numId w:val="31"/>
      </w:numPr>
    </w:pPr>
  </w:style>
  <w:style w:type="numbering" w:customStyle="1" w:styleId="WWNum33">
    <w:name w:val="WWNum33"/>
    <w:basedOn w:val="Aucuneliste"/>
    <w:locked/>
    <w:pPr>
      <w:numPr>
        <w:numId w:val="32"/>
      </w:numPr>
    </w:pPr>
  </w:style>
  <w:style w:type="numbering" w:customStyle="1" w:styleId="WWNum34">
    <w:name w:val="WWNum34"/>
    <w:basedOn w:val="Aucuneliste"/>
    <w:locked/>
    <w:pPr>
      <w:numPr>
        <w:numId w:val="33"/>
      </w:numPr>
    </w:pPr>
  </w:style>
  <w:style w:type="numbering" w:customStyle="1" w:styleId="WWNum35">
    <w:name w:val="WWNum35"/>
    <w:basedOn w:val="Aucuneliste"/>
    <w:locked/>
    <w:pPr>
      <w:numPr>
        <w:numId w:val="34"/>
      </w:numPr>
    </w:pPr>
  </w:style>
  <w:style w:type="paragraph" w:styleId="Commentaire">
    <w:name w:val="annotation text"/>
    <w:basedOn w:val="Normal"/>
    <w:link w:val="CommentaireCar"/>
    <w:uiPriority w:val="99"/>
    <w:semiHidden/>
    <w:unhideWhenUsed/>
    <w:rPr>
      <w:rFonts w:cs="Mangal"/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cs="Mangal"/>
      <w:sz w:val="20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46C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6CC"/>
    <w:rPr>
      <w:rFonts w:ascii="Segoe UI" w:hAnsi="Segoe UI" w:cs="Mangal"/>
      <w:sz w:val="18"/>
      <w:szCs w:val="16"/>
    </w:rPr>
  </w:style>
  <w:style w:type="numbering" w:customStyle="1" w:styleId="LALIVEParagraphs">
    <w:name w:val="LALIVE_Paragraphs"/>
    <w:uiPriority w:val="99"/>
    <w:rsid w:val="00D12B6B"/>
    <w:pPr>
      <w:numPr>
        <w:numId w:val="43"/>
      </w:numPr>
    </w:pPr>
  </w:style>
  <w:style w:type="paragraph" w:styleId="En-tte">
    <w:name w:val="header"/>
    <w:basedOn w:val="Normal"/>
    <w:link w:val="En-tteCar"/>
    <w:uiPriority w:val="99"/>
    <w:unhideWhenUsed/>
    <w:rsid w:val="00A814E0"/>
    <w:pPr>
      <w:tabs>
        <w:tab w:val="center" w:pos="4513"/>
        <w:tab w:val="right" w:pos="9026"/>
      </w:tabs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A814E0"/>
    <w:rPr>
      <w:rFonts w:cs="Mangal"/>
    </w:rPr>
  </w:style>
  <w:style w:type="paragraph" w:styleId="Pieddepage">
    <w:name w:val="footer"/>
    <w:basedOn w:val="Normal"/>
    <w:link w:val="PieddepageCar"/>
    <w:uiPriority w:val="99"/>
    <w:unhideWhenUsed/>
    <w:rsid w:val="00A814E0"/>
    <w:pPr>
      <w:tabs>
        <w:tab w:val="center" w:pos="4513"/>
        <w:tab w:val="right" w:pos="9026"/>
      </w:tabs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A814E0"/>
    <w:rPr>
      <w:rFonts w:cs="Mangal"/>
    </w:rPr>
  </w:style>
  <w:style w:type="character" w:styleId="Lienhypertexte">
    <w:name w:val="Hyperlink"/>
    <w:basedOn w:val="Policepardfaut"/>
    <w:uiPriority w:val="99"/>
    <w:unhideWhenUsed/>
    <w:rsid w:val="001C7192"/>
    <w:rPr>
      <w:color w:val="0563C1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26744"/>
    <w:pPr>
      <w:spacing w:line="240" w:lineRule="auto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26744"/>
    <w:rPr>
      <w:rFonts w:cs="Mangal"/>
      <w:b/>
      <w:bCs/>
      <w:sz w:val="2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B02C0"/>
    <w:rPr>
      <w:color w:val="954F72" w:themeColor="followedHyperlink"/>
      <w:u w:val="single"/>
    </w:rPr>
  </w:style>
  <w:style w:type="paragraph" w:customStyle="1" w:styleId="LALIVEList-a">
    <w:name w:val="LALIVE_List- a"/>
    <w:basedOn w:val="Normal"/>
    <w:qFormat/>
    <w:rsid w:val="00C2171A"/>
    <w:pPr>
      <w:tabs>
        <w:tab w:val="num" w:pos="0"/>
      </w:tabs>
      <w:autoSpaceDN/>
      <w:spacing w:before="120" w:after="120" w:line="320" w:lineRule="exact"/>
      <w:ind w:left="329" w:hanging="329"/>
      <w:jc w:val="both"/>
      <w:textAlignment w:val="auto"/>
    </w:pPr>
    <w:rPr>
      <w:rFonts w:ascii="Times New Roman" w:eastAsiaTheme="minorEastAsia" w:hAnsi="Times New Roman" w:cstheme="minorBidi"/>
      <w:kern w:val="2"/>
      <w:sz w:val="23"/>
      <w:szCs w:val="23"/>
      <w:lang w:eastAsia="de-DE" w:bidi="ar-SA"/>
      <w14:ligatures w14:val="standardContextual"/>
    </w:rPr>
  </w:style>
  <w:style w:type="paragraph" w:customStyle="1" w:styleId="LALIVEList-1">
    <w:name w:val="LALIVE_List-1"/>
    <w:basedOn w:val="LALIVEList-a"/>
    <w:qFormat/>
    <w:rsid w:val="00C2171A"/>
  </w:style>
  <w:style w:type="paragraph" w:customStyle="1" w:styleId="OKList-a">
    <w:name w:val="OK_List- a"/>
    <w:basedOn w:val="Normal"/>
    <w:qFormat/>
    <w:rsid w:val="00016204"/>
    <w:pPr>
      <w:tabs>
        <w:tab w:val="num" w:pos="0"/>
      </w:tabs>
      <w:autoSpaceDN/>
      <w:spacing w:before="120" w:after="120" w:line="320" w:lineRule="exact"/>
      <w:ind w:left="329" w:hanging="329"/>
      <w:jc w:val="both"/>
      <w:textAlignment w:val="auto"/>
    </w:pPr>
    <w:rPr>
      <w:rFonts w:eastAsiaTheme="minorEastAsia" w:cstheme="minorBidi"/>
      <w:kern w:val="2"/>
      <w:sz w:val="23"/>
      <w:szCs w:val="23"/>
      <w:lang w:eastAsia="de-DE" w:bidi="ar-SA"/>
      <w14:ligatures w14:val="standardContextu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4AEF"/>
    <w:pPr>
      <w:spacing w:line="240" w:lineRule="auto"/>
    </w:pPr>
    <w:rPr>
      <w:rFonts w:cs="Mangal"/>
      <w:sz w:val="20"/>
      <w:szCs w:val="1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4AEF"/>
    <w:rPr>
      <w:rFonts w:cs="Mangal"/>
      <w:sz w:val="20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864A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ohwr.org/explore" TargetMode="External"/><Relationship Id="rId2" Type="http://schemas.openxmlformats.org/officeDocument/2006/relationships/hyperlink" Target="https://github.com/explore" TargetMode="External"/><Relationship Id="rId1" Type="http://schemas.openxmlformats.org/officeDocument/2006/relationships/hyperlink" Target="https://sourceforge.net/directory/" TargetMode="External"/><Relationship Id="rId5" Type="http://schemas.openxmlformats.org/officeDocument/2006/relationships/hyperlink" Target="https://joinup.ec.europa.eu/collections" TargetMode="External"/><Relationship Id="rId4" Type="http://schemas.openxmlformats.org/officeDocument/2006/relationships/hyperlink" Target="https://en.wikipedia.org/wiki/Help:Introduction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crotechbooster.swiss/legal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nu.org/philosophy/free-sw.en.html" TargetMode="External"/><Relationship Id="rId2" Type="http://schemas.openxmlformats.org/officeDocument/2006/relationships/hyperlink" Target="https://www.oshwa.org/definition/" TargetMode="External"/><Relationship Id="rId1" Type="http://schemas.openxmlformats.org/officeDocument/2006/relationships/hyperlink" Target="https://opensource.org/licenses/category" TargetMode="External"/><Relationship Id="rId4" Type="http://schemas.openxmlformats.org/officeDocument/2006/relationships/hyperlink" Target="https://opencontent.org/defin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72ADA-958F-4B87-AE65-B3B87DC4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1988</Words>
  <Characters>10938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POP-UP_ASSOCIATION</vt:lpstr>
    </vt:vector>
  </TitlesOfParts>
  <Company/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POP-UP_ASSOCIATION</dc:title>
  <dc:subject/>
  <dc:creator>Quentin Louis Adler</dc:creator>
  <cp:keywords/>
  <dc:description/>
  <cp:lastModifiedBy>Joëlle Tosetti</cp:lastModifiedBy>
  <cp:revision>25</cp:revision>
  <cp:lastPrinted>2021-07-24T15:23:00Z</cp:lastPrinted>
  <dcterms:created xsi:type="dcterms:W3CDTF">2021-07-24T15:13:00Z</dcterms:created>
  <dcterms:modified xsi:type="dcterms:W3CDTF">2021-07-27T19:38:00Z</dcterms:modified>
</cp:coreProperties>
</file>